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3320159F" w:rsidR="00F06BE7" w:rsidRDefault="00F06BE7" w:rsidP="00F06BE7">
      <w:pPr>
        <w:spacing w:line="724" w:lineRule="exact"/>
        <w:textAlignment w:val="baseline"/>
        <w:rPr>
          <w:rFonts w:ascii="Tahoma" w:eastAsia="Tahoma" w:hAnsi="Tahoma"/>
          <w:color w:val="808080" w:themeColor="background1" w:themeShade="80"/>
          <w:spacing w:val="11"/>
          <w:w w:val="110"/>
          <w:sz w:val="54"/>
          <w:lang w:val="en-US"/>
        </w:rPr>
      </w:pPr>
      <w:r w:rsidRPr="00F06BE7">
        <w:rPr>
          <w:rFonts w:ascii="Tahoma" w:eastAsia="Tahoma" w:hAnsi="Tahoma"/>
          <w:color w:val="808080" w:themeColor="background1" w:themeShade="80"/>
          <w:spacing w:val="11"/>
          <w:w w:val="110"/>
          <w:sz w:val="54"/>
          <w:lang w:val="en-US"/>
        </w:rPr>
        <w:t>improving provision for all</w:t>
      </w:r>
    </w:p>
    <w:p w14:paraId="70EA3BDE" w14:textId="77777777" w:rsid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2AB74048" w14:textId="7BFF70D1" w:rsidR="000E3D08" w:rsidRDefault="00C67BB2" w:rsidP="000E3D08">
      <w:pPr>
        <w:spacing w:before="236" w:after="4" w:line="428" w:lineRule="exact"/>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r>
        <w:rPr>
          <w:rFonts w:ascii="Tahoma" w:eastAsia="Tahoma" w:hAnsi="Tahoma"/>
          <w:color w:val="767171" w:themeColor="background2" w:themeShade="80"/>
          <w:spacing w:val="5"/>
          <w:sz w:val="33"/>
        </w:rPr>
        <w:t xml:space="preserve"> – </w:t>
      </w:r>
      <w:r w:rsidR="0026144B">
        <w:rPr>
          <w:rFonts w:ascii="Tahoma" w:eastAsia="Tahoma" w:hAnsi="Tahoma"/>
          <w:color w:val="767171" w:themeColor="background2" w:themeShade="80"/>
          <w:spacing w:val="5"/>
          <w:sz w:val="33"/>
        </w:rPr>
        <w:t>Early Years</w:t>
      </w:r>
      <w:r w:rsidR="000E3D08" w:rsidRPr="0020502C">
        <w:rPr>
          <w:rFonts w:ascii="Tahoma" w:eastAsia="Tahoma" w:hAnsi="Tahoma"/>
          <w:color w:val="767171" w:themeColor="background2" w:themeShade="80"/>
          <w:spacing w:val="5"/>
          <w:sz w:val="33"/>
        </w:rPr>
        <w:t xml:space="preserve"> </w:t>
      </w:r>
    </w:p>
    <w:p w14:paraId="6FF68D1F" w14:textId="31371F44" w:rsidR="00C67BB2" w:rsidRPr="00466DC3" w:rsidRDefault="00C67BB2" w:rsidP="00C67BB2">
      <w:pPr>
        <w:spacing w:before="236" w:after="4" w:line="428" w:lineRule="exact"/>
        <w:textAlignment w:val="baseline"/>
        <w:rPr>
          <w:rFonts w:ascii="Tahoma" w:eastAsia="Tahoma" w:hAnsi="Tahoma"/>
          <w:color w:val="767171" w:themeColor="background2" w:themeShade="80"/>
          <w:spacing w:val="5"/>
          <w:sz w:val="33"/>
        </w:rPr>
      </w:pPr>
    </w:p>
    <w:p w14:paraId="65079BF2" w14:textId="77777777" w:rsidR="00C67BB2" w:rsidRP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B5BAC57" w14:textId="36EF7E04" w:rsidR="00F06BE7" w:rsidRDefault="00F06BE7"/>
    <w:p w14:paraId="1CC23566" w14:textId="61874AA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00FE2CD8" w14:textId="11B4FD42" w:rsidR="00E9632C" w:rsidRDefault="00E9632C" w:rsidP="00E9632C">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lastRenderedPageBreak/>
        <w:t>Early Years Setting</w:t>
      </w:r>
      <w:r w:rsidRPr="0020502C">
        <w:rPr>
          <w:rFonts w:ascii="Tahoma" w:eastAsia="Tahoma" w:hAnsi="Tahoma"/>
          <w:color w:val="767171" w:themeColor="background2" w:themeShade="80"/>
          <w:spacing w:val="5"/>
          <w:sz w:val="33"/>
        </w:rPr>
        <w:t xml:space="preserve"> Visit/Self-Evaluation Template</w:t>
      </w:r>
    </w:p>
    <w:p w14:paraId="320B19DC" w14:textId="77777777" w:rsidR="00E9632C" w:rsidRDefault="00E9632C" w:rsidP="00E9632C"/>
    <w:tbl>
      <w:tblPr>
        <w:tblStyle w:val="TableGrid"/>
        <w:tblW w:w="14512" w:type="dxa"/>
        <w:tblLook w:val="04A0" w:firstRow="1" w:lastRow="0" w:firstColumn="1" w:lastColumn="0" w:noHBand="0" w:noVBand="1"/>
      </w:tblPr>
      <w:tblGrid>
        <w:gridCol w:w="8549"/>
        <w:gridCol w:w="1769"/>
        <w:gridCol w:w="2212"/>
        <w:gridCol w:w="1982"/>
      </w:tblGrid>
      <w:tr w:rsidR="00E9632C" w:rsidRPr="00466DC3" w14:paraId="6917F9FF" w14:textId="77777777" w:rsidTr="003C4C4F">
        <w:trPr>
          <w:trHeight w:val="287"/>
        </w:trPr>
        <w:tc>
          <w:tcPr>
            <w:tcW w:w="14512" w:type="dxa"/>
            <w:gridSpan w:val="4"/>
          </w:tcPr>
          <w:p w14:paraId="6EEBDA06" w14:textId="70B3C892" w:rsidR="00E9632C" w:rsidRPr="0026144B" w:rsidRDefault="00E9632C" w:rsidP="0026144B">
            <w:pPr>
              <w:pStyle w:val="ListParagraph"/>
              <w:numPr>
                <w:ilvl w:val="0"/>
                <w:numId w:val="17"/>
              </w:numPr>
              <w:jc w:val="center"/>
              <w:rPr>
                <w:b/>
                <w:bCs/>
              </w:rPr>
            </w:pPr>
            <w:r w:rsidRPr="0026144B">
              <w:rPr>
                <w:b/>
                <w:bCs/>
                <w:sz w:val="26"/>
                <w:szCs w:val="26"/>
              </w:rPr>
              <w:t>LEADERSHIP OF SEND</w:t>
            </w:r>
          </w:p>
        </w:tc>
      </w:tr>
      <w:tr w:rsidR="00E9632C" w:rsidRPr="00E50A90" w14:paraId="2483F0DB" w14:textId="77777777" w:rsidTr="003C4C4F">
        <w:trPr>
          <w:trHeight w:val="586"/>
        </w:trPr>
        <w:tc>
          <w:tcPr>
            <w:tcW w:w="8549" w:type="dxa"/>
          </w:tcPr>
          <w:p w14:paraId="57DE9DC0" w14:textId="77777777" w:rsidR="00E9632C" w:rsidRPr="00E50A90" w:rsidRDefault="00E9632C" w:rsidP="003C4C4F">
            <w:pPr>
              <w:rPr>
                <w:b/>
                <w:bCs/>
              </w:rPr>
            </w:pPr>
            <w:r w:rsidRPr="00E50A90">
              <w:rPr>
                <w:b/>
                <w:bCs/>
              </w:rPr>
              <w:t>SUGGESTED THEMES AND AREAS TO EXPLORE</w:t>
            </w:r>
          </w:p>
        </w:tc>
        <w:tc>
          <w:tcPr>
            <w:tcW w:w="1769" w:type="dxa"/>
          </w:tcPr>
          <w:p w14:paraId="1256C118" w14:textId="77777777" w:rsidR="00E9632C" w:rsidRPr="00E50A90" w:rsidRDefault="00E9632C" w:rsidP="003C4C4F">
            <w:pPr>
              <w:rPr>
                <w:b/>
                <w:bCs/>
              </w:rPr>
            </w:pPr>
            <w:r w:rsidRPr="00E50A90">
              <w:rPr>
                <w:b/>
                <w:bCs/>
              </w:rPr>
              <w:t>STRENGTHS</w:t>
            </w:r>
          </w:p>
        </w:tc>
        <w:tc>
          <w:tcPr>
            <w:tcW w:w="2212" w:type="dxa"/>
          </w:tcPr>
          <w:p w14:paraId="253A703D" w14:textId="77777777" w:rsidR="00E9632C" w:rsidRPr="00E50A90" w:rsidRDefault="00E9632C" w:rsidP="003C4C4F">
            <w:pPr>
              <w:rPr>
                <w:b/>
                <w:bCs/>
              </w:rPr>
            </w:pPr>
            <w:r w:rsidRPr="00E50A90">
              <w:rPr>
                <w:b/>
                <w:bCs/>
              </w:rPr>
              <w:t>AREAS FOR DEVELOPMENT</w:t>
            </w:r>
          </w:p>
        </w:tc>
        <w:tc>
          <w:tcPr>
            <w:tcW w:w="1982" w:type="dxa"/>
          </w:tcPr>
          <w:p w14:paraId="4DF0A8AE" w14:textId="77777777" w:rsidR="00E9632C" w:rsidRPr="00E50A90" w:rsidRDefault="00E9632C" w:rsidP="003C4C4F">
            <w:pPr>
              <w:rPr>
                <w:b/>
                <w:bCs/>
              </w:rPr>
            </w:pPr>
            <w:r w:rsidRPr="00E50A90">
              <w:rPr>
                <w:b/>
                <w:bCs/>
              </w:rPr>
              <w:t>KEY STAKEHOLDERS</w:t>
            </w:r>
          </w:p>
        </w:tc>
      </w:tr>
      <w:tr w:rsidR="00E9632C" w14:paraId="0739252D" w14:textId="77777777" w:rsidTr="003C4C4F">
        <w:trPr>
          <w:trHeight w:val="287"/>
        </w:trPr>
        <w:tc>
          <w:tcPr>
            <w:tcW w:w="8549" w:type="dxa"/>
          </w:tcPr>
          <w:p w14:paraId="74BBCCA2" w14:textId="58EAF5B4" w:rsidR="00E9632C" w:rsidRPr="00E9632C" w:rsidRDefault="00E9632C" w:rsidP="00E9632C">
            <w:r w:rsidRPr="00E9632C">
              <w:t>The school has a clear vision for the education of all pupils with SEND at the school. The school has a culture of high aspiration for all children.</w:t>
            </w:r>
          </w:p>
        </w:tc>
        <w:tc>
          <w:tcPr>
            <w:tcW w:w="1769" w:type="dxa"/>
          </w:tcPr>
          <w:p w14:paraId="63A66334" w14:textId="77777777" w:rsidR="00E9632C" w:rsidRDefault="00E9632C" w:rsidP="00E9632C"/>
        </w:tc>
        <w:tc>
          <w:tcPr>
            <w:tcW w:w="2212" w:type="dxa"/>
          </w:tcPr>
          <w:p w14:paraId="0138A194" w14:textId="77777777" w:rsidR="00E9632C" w:rsidRDefault="00E9632C" w:rsidP="00E9632C"/>
        </w:tc>
        <w:tc>
          <w:tcPr>
            <w:tcW w:w="1982" w:type="dxa"/>
          </w:tcPr>
          <w:p w14:paraId="749B5C84" w14:textId="77777777" w:rsidR="00E9632C" w:rsidRDefault="00E9632C" w:rsidP="00E9632C"/>
        </w:tc>
      </w:tr>
      <w:tr w:rsidR="00E9632C" w14:paraId="00837AB9" w14:textId="77777777" w:rsidTr="003C4C4F">
        <w:trPr>
          <w:trHeight w:val="287"/>
        </w:trPr>
        <w:tc>
          <w:tcPr>
            <w:tcW w:w="8549" w:type="dxa"/>
            <w:vAlign w:val="center"/>
          </w:tcPr>
          <w:p w14:paraId="2A47E035" w14:textId="48E0E8E9" w:rsidR="00E9632C" w:rsidRPr="00E9632C" w:rsidRDefault="00E9632C" w:rsidP="00E9632C">
            <w:r w:rsidRPr="00E9632C">
              <w:t>School leaders, including EYFS leadership, and governors have created a culture and ethos that actively welcomes and engages parents and carers of pupils with SEND.</w:t>
            </w:r>
          </w:p>
        </w:tc>
        <w:tc>
          <w:tcPr>
            <w:tcW w:w="1769" w:type="dxa"/>
          </w:tcPr>
          <w:p w14:paraId="22711C2F" w14:textId="77777777" w:rsidR="00E9632C" w:rsidRDefault="00E9632C" w:rsidP="00E9632C"/>
        </w:tc>
        <w:tc>
          <w:tcPr>
            <w:tcW w:w="2212" w:type="dxa"/>
          </w:tcPr>
          <w:p w14:paraId="68530320" w14:textId="77777777" w:rsidR="00E9632C" w:rsidRDefault="00E9632C" w:rsidP="00E9632C"/>
        </w:tc>
        <w:tc>
          <w:tcPr>
            <w:tcW w:w="1982" w:type="dxa"/>
          </w:tcPr>
          <w:p w14:paraId="53ABCA7A" w14:textId="77777777" w:rsidR="00E9632C" w:rsidRDefault="00E9632C" w:rsidP="00E9632C"/>
        </w:tc>
      </w:tr>
      <w:tr w:rsidR="00E9632C" w14:paraId="13E16179" w14:textId="77777777" w:rsidTr="003C4C4F">
        <w:trPr>
          <w:trHeight w:val="287"/>
        </w:trPr>
        <w:tc>
          <w:tcPr>
            <w:tcW w:w="8549" w:type="dxa"/>
          </w:tcPr>
          <w:p w14:paraId="293D29FF" w14:textId="77540969" w:rsidR="00E9632C" w:rsidRPr="00E9632C" w:rsidRDefault="00E9632C" w:rsidP="00E9632C">
            <w:r w:rsidRPr="00E9632C">
              <w:t>All school leaders and governors are knowledgeable on SEND policy and practice. The school is implementing and embedding the key principles of the SEND reforms and the Equality Act effectively.</w:t>
            </w:r>
          </w:p>
        </w:tc>
        <w:tc>
          <w:tcPr>
            <w:tcW w:w="1769" w:type="dxa"/>
          </w:tcPr>
          <w:p w14:paraId="2A80E79E" w14:textId="77777777" w:rsidR="00E9632C" w:rsidRDefault="00E9632C" w:rsidP="00E9632C"/>
        </w:tc>
        <w:tc>
          <w:tcPr>
            <w:tcW w:w="2212" w:type="dxa"/>
          </w:tcPr>
          <w:p w14:paraId="2E4252EB" w14:textId="77777777" w:rsidR="00E9632C" w:rsidRDefault="00E9632C" w:rsidP="00E9632C"/>
        </w:tc>
        <w:tc>
          <w:tcPr>
            <w:tcW w:w="1982" w:type="dxa"/>
          </w:tcPr>
          <w:p w14:paraId="4173D5E4" w14:textId="77777777" w:rsidR="00E9632C" w:rsidRDefault="00E9632C" w:rsidP="00E9632C"/>
        </w:tc>
      </w:tr>
      <w:tr w:rsidR="00E9632C" w14:paraId="7F553070" w14:textId="77777777" w:rsidTr="003C4C4F">
        <w:trPr>
          <w:trHeight w:val="287"/>
        </w:trPr>
        <w:tc>
          <w:tcPr>
            <w:tcW w:w="8549" w:type="dxa"/>
          </w:tcPr>
          <w:p w14:paraId="7A8C058D" w14:textId="6DF9E805" w:rsidR="00E9632C" w:rsidRPr="00E9632C" w:rsidRDefault="00E9632C" w:rsidP="00E9632C">
            <w:r w:rsidRPr="00E9632C">
              <w:t>The SEND governor and whole Governing Board holds the school to account in order to have a positive impact on the outcomes of all pupils. The SEND governor has attended appropriate training in order to do this effectively.</w:t>
            </w:r>
          </w:p>
        </w:tc>
        <w:tc>
          <w:tcPr>
            <w:tcW w:w="1769" w:type="dxa"/>
          </w:tcPr>
          <w:p w14:paraId="68BDDD4B" w14:textId="77777777" w:rsidR="00E9632C" w:rsidRDefault="00E9632C" w:rsidP="00E9632C"/>
        </w:tc>
        <w:tc>
          <w:tcPr>
            <w:tcW w:w="2212" w:type="dxa"/>
          </w:tcPr>
          <w:p w14:paraId="56DF75D0" w14:textId="77777777" w:rsidR="00E9632C" w:rsidRDefault="00E9632C" w:rsidP="00E9632C"/>
        </w:tc>
        <w:tc>
          <w:tcPr>
            <w:tcW w:w="1982" w:type="dxa"/>
          </w:tcPr>
          <w:p w14:paraId="55B79829" w14:textId="77777777" w:rsidR="00E9632C" w:rsidRDefault="00E9632C" w:rsidP="00E9632C"/>
        </w:tc>
      </w:tr>
      <w:tr w:rsidR="00E9632C" w14:paraId="4B4BA8BA" w14:textId="77777777" w:rsidTr="003C4C4F">
        <w:trPr>
          <w:trHeight w:val="287"/>
        </w:trPr>
        <w:tc>
          <w:tcPr>
            <w:tcW w:w="8549" w:type="dxa"/>
          </w:tcPr>
          <w:p w14:paraId="165C0CCD" w14:textId="2746F0CB" w:rsidR="00E9632C" w:rsidRPr="00E9632C" w:rsidRDefault="00E9632C" w:rsidP="00E9632C">
            <w:r w:rsidRPr="00E9632C">
              <w:t>The SENCO works closely alongside the headteacher and other senior leaders, including EYFS leaders, to develop a whole school response to SEND. The school ensures that all teachers and all leaders are aware of their responsibilities to pupils with additional needs.</w:t>
            </w:r>
          </w:p>
        </w:tc>
        <w:tc>
          <w:tcPr>
            <w:tcW w:w="1769" w:type="dxa"/>
          </w:tcPr>
          <w:p w14:paraId="6463CCE4" w14:textId="77777777" w:rsidR="00E9632C" w:rsidRDefault="00E9632C" w:rsidP="00E9632C"/>
        </w:tc>
        <w:tc>
          <w:tcPr>
            <w:tcW w:w="2212" w:type="dxa"/>
          </w:tcPr>
          <w:p w14:paraId="63B83E69" w14:textId="77777777" w:rsidR="00E9632C" w:rsidRDefault="00E9632C" w:rsidP="00E9632C"/>
        </w:tc>
        <w:tc>
          <w:tcPr>
            <w:tcW w:w="1982" w:type="dxa"/>
          </w:tcPr>
          <w:p w14:paraId="2E3F3E74" w14:textId="77777777" w:rsidR="00E9632C" w:rsidRDefault="00E9632C" w:rsidP="00E9632C"/>
        </w:tc>
      </w:tr>
      <w:tr w:rsidR="00E9632C" w14:paraId="6D35B19B" w14:textId="77777777" w:rsidTr="003C4C4F">
        <w:trPr>
          <w:trHeight w:val="287"/>
        </w:trPr>
        <w:tc>
          <w:tcPr>
            <w:tcW w:w="8549" w:type="dxa"/>
          </w:tcPr>
          <w:p w14:paraId="75CE79BC" w14:textId="679061A7" w:rsidR="00E9632C" w:rsidRPr="00E9632C" w:rsidRDefault="00E9632C" w:rsidP="00E9632C">
            <w:r w:rsidRPr="00E9632C">
              <w:t>The EYFS leader ensures staff engagement at all levels to facilitate effective early identification of SEND, productive working partnerships with parents/carers and appropriate referral to access external expertise.</w:t>
            </w:r>
          </w:p>
        </w:tc>
        <w:tc>
          <w:tcPr>
            <w:tcW w:w="1769" w:type="dxa"/>
          </w:tcPr>
          <w:p w14:paraId="0D21094D" w14:textId="77777777" w:rsidR="00E9632C" w:rsidRDefault="00E9632C" w:rsidP="00E9632C"/>
        </w:tc>
        <w:tc>
          <w:tcPr>
            <w:tcW w:w="2212" w:type="dxa"/>
          </w:tcPr>
          <w:p w14:paraId="476E86F2" w14:textId="77777777" w:rsidR="00E9632C" w:rsidRDefault="00E9632C" w:rsidP="00E9632C"/>
        </w:tc>
        <w:tc>
          <w:tcPr>
            <w:tcW w:w="1982" w:type="dxa"/>
          </w:tcPr>
          <w:p w14:paraId="763BBFB0" w14:textId="77777777" w:rsidR="00E9632C" w:rsidRDefault="00E9632C" w:rsidP="00E9632C"/>
        </w:tc>
      </w:tr>
      <w:tr w:rsidR="00E9632C" w14:paraId="0F69F37C" w14:textId="77777777" w:rsidTr="003C4C4F">
        <w:trPr>
          <w:trHeight w:val="287"/>
        </w:trPr>
        <w:tc>
          <w:tcPr>
            <w:tcW w:w="8549" w:type="dxa"/>
          </w:tcPr>
          <w:p w14:paraId="0BB6799B" w14:textId="28FF2F91" w:rsidR="00E9632C" w:rsidRPr="00E9632C" w:rsidRDefault="00E9632C" w:rsidP="00E9632C">
            <w:r w:rsidRPr="00E9632C">
              <w:t>The school development plan has clear aims and objectives in place related to SEND. As a result, key priorities are identified correctly.</w:t>
            </w:r>
          </w:p>
        </w:tc>
        <w:tc>
          <w:tcPr>
            <w:tcW w:w="1769" w:type="dxa"/>
          </w:tcPr>
          <w:p w14:paraId="7263DD9D" w14:textId="77777777" w:rsidR="00E9632C" w:rsidRDefault="00E9632C" w:rsidP="00E9632C"/>
        </w:tc>
        <w:tc>
          <w:tcPr>
            <w:tcW w:w="2212" w:type="dxa"/>
          </w:tcPr>
          <w:p w14:paraId="7C39B39D" w14:textId="77777777" w:rsidR="00E9632C" w:rsidRDefault="00E9632C" w:rsidP="00E9632C"/>
        </w:tc>
        <w:tc>
          <w:tcPr>
            <w:tcW w:w="1982" w:type="dxa"/>
          </w:tcPr>
          <w:p w14:paraId="4CAC774F" w14:textId="77777777" w:rsidR="00E9632C" w:rsidRDefault="00E9632C" w:rsidP="00E9632C"/>
        </w:tc>
      </w:tr>
      <w:tr w:rsidR="00E9632C" w14:paraId="1236153A" w14:textId="77777777" w:rsidTr="003C4C4F">
        <w:trPr>
          <w:trHeight w:val="287"/>
        </w:trPr>
        <w:tc>
          <w:tcPr>
            <w:tcW w:w="8549" w:type="dxa"/>
          </w:tcPr>
          <w:p w14:paraId="6ECCA5E4" w14:textId="60D096BB" w:rsidR="00E9632C" w:rsidRPr="00E9632C" w:rsidRDefault="00E9632C" w:rsidP="00E9632C">
            <w:r w:rsidRPr="00E9632C">
              <w:t>Roles and responsibilities for SEND provision are clear. As a result, all leaders and all teachers understand and accept they are responsible for the progress of all pupils.</w:t>
            </w:r>
          </w:p>
        </w:tc>
        <w:tc>
          <w:tcPr>
            <w:tcW w:w="1769" w:type="dxa"/>
          </w:tcPr>
          <w:p w14:paraId="3C0505B4" w14:textId="77777777" w:rsidR="00E9632C" w:rsidRDefault="00E9632C" w:rsidP="00E9632C"/>
        </w:tc>
        <w:tc>
          <w:tcPr>
            <w:tcW w:w="2212" w:type="dxa"/>
          </w:tcPr>
          <w:p w14:paraId="27B89732" w14:textId="77777777" w:rsidR="00E9632C" w:rsidRDefault="00E9632C" w:rsidP="00E9632C"/>
        </w:tc>
        <w:tc>
          <w:tcPr>
            <w:tcW w:w="1982" w:type="dxa"/>
          </w:tcPr>
          <w:p w14:paraId="6F8D139B" w14:textId="77777777" w:rsidR="00E9632C" w:rsidRDefault="00E9632C" w:rsidP="00E9632C"/>
        </w:tc>
      </w:tr>
      <w:tr w:rsidR="00E9632C" w14:paraId="3063A595" w14:textId="77777777" w:rsidTr="003C4C4F">
        <w:trPr>
          <w:trHeight w:val="287"/>
        </w:trPr>
        <w:tc>
          <w:tcPr>
            <w:tcW w:w="8549" w:type="dxa"/>
          </w:tcPr>
          <w:p w14:paraId="60326678" w14:textId="3D336198" w:rsidR="00E9632C" w:rsidRPr="00E9632C" w:rsidRDefault="00E9632C" w:rsidP="00E9632C">
            <w:r w:rsidRPr="00E9632C">
              <w:t>The school has a successful track record of supporting the transition of pupils with SEND from specialist settings. For example, the school successfully integrates pupils with SEND from alternative provision.</w:t>
            </w:r>
          </w:p>
        </w:tc>
        <w:tc>
          <w:tcPr>
            <w:tcW w:w="1769" w:type="dxa"/>
          </w:tcPr>
          <w:p w14:paraId="0891E3BC" w14:textId="77777777" w:rsidR="00E9632C" w:rsidRDefault="00E9632C" w:rsidP="00E9632C"/>
        </w:tc>
        <w:tc>
          <w:tcPr>
            <w:tcW w:w="2212" w:type="dxa"/>
          </w:tcPr>
          <w:p w14:paraId="5FDA6A7A" w14:textId="77777777" w:rsidR="00E9632C" w:rsidRDefault="00E9632C" w:rsidP="00E9632C"/>
        </w:tc>
        <w:tc>
          <w:tcPr>
            <w:tcW w:w="1982" w:type="dxa"/>
          </w:tcPr>
          <w:p w14:paraId="5933B996" w14:textId="77777777" w:rsidR="00E9632C" w:rsidRDefault="00E9632C" w:rsidP="00E9632C"/>
        </w:tc>
      </w:tr>
    </w:tbl>
    <w:p w14:paraId="3EDD4EC5" w14:textId="77777777" w:rsidR="0026144B" w:rsidRDefault="0026144B" w:rsidP="0077525F">
      <w:pPr>
        <w:rPr>
          <w:rFonts w:ascii="Tahoma" w:eastAsia="Tahoma" w:hAnsi="Tahoma"/>
          <w:b/>
          <w:color w:val="808080" w:themeColor="background1" w:themeShade="80"/>
          <w:spacing w:val="12"/>
          <w:w w:val="80"/>
          <w:sz w:val="48"/>
        </w:rPr>
      </w:pPr>
    </w:p>
    <w:p w14:paraId="551F6299" w14:textId="77777777" w:rsidR="0077525F" w:rsidRDefault="0077525F" w:rsidP="0077525F"/>
    <w:tbl>
      <w:tblPr>
        <w:tblStyle w:val="TableGrid"/>
        <w:tblW w:w="14512" w:type="dxa"/>
        <w:tblLook w:val="04A0" w:firstRow="1" w:lastRow="0" w:firstColumn="1" w:lastColumn="0" w:noHBand="0" w:noVBand="1"/>
      </w:tblPr>
      <w:tblGrid>
        <w:gridCol w:w="8549"/>
        <w:gridCol w:w="1769"/>
        <w:gridCol w:w="2212"/>
        <w:gridCol w:w="1982"/>
      </w:tblGrid>
      <w:tr w:rsidR="0077525F" w:rsidRPr="00466DC3" w14:paraId="6836804A" w14:textId="77777777" w:rsidTr="003C4C4F">
        <w:trPr>
          <w:trHeight w:val="287"/>
        </w:trPr>
        <w:tc>
          <w:tcPr>
            <w:tcW w:w="14512" w:type="dxa"/>
            <w:gridSpan w:val="4"/>
          </w:tcPr>
          <w:p w14:paraId="30167295" w14:textId="31FF06DD" w:rsidR="0077525F" w:rsidRPr="0026144B" w:rsidRDefault="0077525F" w:rsidP="0026144B">
            <w:pPr>
              <w:pStyle w:val="ListParagraph"/>
              <w:numPr>
                <w:ilvl w:val="0"/>
                <w:numId w:val="17"/>
              </w:numPr>
              <w:jc w:val="center"/>
              <w:rPr>
                <w:b/>
                <w:bCs/>
              </w:rPr>
            </w:pPr>
            <w:r w:rsidRPr="0026144B">
              <w:rPr>
                <w:b/>
                <w:bCs/>
                <w:sz w:val="26"/>
                <w:szCs w:val="26"/>
              </w:rPr>
              <w:t>THE QUALITY OF TEACHING AND LEARNING FOR PUPILS WITH SEND</w:t>
            </w:r>
          </w:p>
        </w:tc>
      </w:tr>
      <w:tr w:rsidR="0077525F" w:rsidRPr="00E50A90" w14:paraId="53D62F2A" w14:textId="77777777" w:rsidTr="003C4C4F">
        <w:trPr>
          <w:trHeight w:val="586"/>
        </w:trPr>
        <w:tc>
          <w:tcPr>
            <w:tcW w:w="8549" w:type="dxa"/>
          </w:tcPr>
          <w:p w14:paraId="0DE47FA3" w14:textId="77777777" w:rsidR="0077525F" w:rsidRPr="00E50A90" w:rsidRDefault="0077525F" w:rsidP="003C4C4F">
            <w:pPr>
              <w:rPr>
                <w:b/>
                <w:bCs/>
              </w:rPr>
            </w:pPr>
            <w:r w:rsidRPr="00E50A90">
              <w:rPr>
                <w:b/>
                <w:bCs/>
              </w:rPr>
              <w:t>SUGGESTED THEMES AND AREAS TO EXPLORE</w:t>
            </w:r>
          </w:p>
        </w:tc>
        <w:tc>
          <w:tcPr>
            <w:tcW w:w="1769" w:type="dxa"/>
          </w:tcPr>
          <w:p w14:paraId="12014125" w14:textId="77777777" w:rsidR="0077525F" w:rsidRPr="00E50A90" w:rsidRDefault="0077525F" w:rsidP="003C4C4F">
            <w:pPr>
              <w:rPr>
                <w:b/>
                <w:bCs/>
              </w:rPr>
            </w:pPr>
            <w:r w:rsidRPr="00E50A90">
              <w:rPr>
                <w:b/>
                <w:bCs/>
              </w:rPr>
              <w:t>STRENGTHS</w:t>
            </w:r>
          </w:p>
        </w:tc>
        <w:tc>
          <w:tcPr>
            <w:tcW w:w="2212" w:type="dxa"/>
          </w:tcPr>
          <w:p w14:paraId="552CF35E" w14:textId="77777777" w:rsidR="0077525F" w:rsidRPr="00E50A90" w:rsidRDefault="0077525F" w:rsidP="003C4C4F">
            <w:pPr>
              <w:rPr>
                <w:b/>
                <w:bCs/>
              </w:rPr>
            </w:pPr>
            <w:r w:rsidRPr="00E50A90">
              <w:rPr>
                <w:b/>
                <w:bCs/>
              </w:rPr>
              <w:t>AREAS FOR DEVELOPMENT</w:t>
            </w:r>
          </w:p>
        </w:tc>
        <w:tc>
          <w:tcPr>
            <w:tcW w:w="1982" w:type="dxa"/>
          </w:tcPr>
          <w:p w14:paraId="38814F91" w14:textId="77777777" w:rsidR="0077525F" w:rsidRPr="00E50A90" w:rsidRDefault="0077525F" w:rsidP="003C4C4F">
            <w:pPr>
              <w:rPr>
                <w:b/>
                <w:bCs/>
              </w:rPr>
            </w:pPr>
            <w:r w:rsidRPr="00E50A90">
              <w:rPr>
                <w:b/>
                <w:bCs/>
              </w:rPr>
              <w:t>KEY STAKEHOLDERS</w:t>
            </w:r>
          </w:p>
        </w:tc>
      </w:tr>
      <w:tr w:rsidR="0077525F" w14:paraId="0D26299E" w14:textId="77777777" w:rsidTr="003C4C4F">
        <w:trPr>
          <w:trHeight w:val="287"/>
        </w:trPr>
        <w:tc>
          <w:tcPr>
            <w:tcW w:w="8549" w:type="dxa"/>
          </w:tcPr>
          <w:p w14:paraId="5ADC2EA8" w14:textId="3E007EAC" w:rsidR="0077525F" w:rsidRPr="0077525F" w:rsidRDefault="0077525F" w:rsidP="0077525F">
            <w:r w:rsidRPr="0077525F">
              <w:t>Senior and middle leaders work closely alongside class teachers to support adaptive teaching and curriculum development. They are involved in reviewing and helping teachers improve the quality of teaching for all pupils.</w:t>
            </w:r>
          </w:p>
        </w:tc>
        <w:tc>
          <w:tcPr>
            <w:tcW w:w="1769" w:type="dxa"/>
          </w:tcPr>
          <w:p w14:paraId="4BF6B90C" w14:textId="77777777" w:rsidR="0077525F" w:rsidRDefault="0077525F" w:rsidP="0077525F"/>
        </w:tc>
        <w:tc>
          <w:tcPr>
            <w:tcW w:w="2212" w:type="dxa"/>
          </w:tcPr>
          <w:p w14:paraId="5325EF47" w14:textId="77777777" w:rsidR="0077525F" w:rsidRDefault="0077525F" w:rsidP="0077525F"/>
        </w:tc>
        <w:tc>
          <w:tcPr>
            <w:tcW w:w="1982" w:type="dxa"/>
          </w:tcPr>
          <w:p w14:paraId="7159628A" w14:textId="77777777" w:rsidR="0077525F" w:rsidRDefault="0077525F" w:rsidP="0077525F"/>
        </w:tc>
      </w:tr>
      <w:tr w:rsidR="0077525F" w14:paraId="04E81E2B" w14:textId="77777777" w:rsidTr="003C4C4F">
        <w:trPr>
          <w:trHeight w:val="287"/>
        </w:trPr>
        <w:tc>
          <w:tcPr>
            <w:tcW w:w="8549" w:type="dxa"/>
          </w:tcPr>
          <w:p w14:paraId="2E37FFE6" w14:textId="57D9F91D" w:rsidR="0077525F" w:rsidRPr="0077525F" w:rsidRDefault="0077525F" w:rsidP="0077525F">
            <w:r w:rsidRPr="0077525F">
              <w:t>Teachers have a clear understanding of pupil need and personalised strategies are informed by parent and carer partnership. These are consistently applied throughout the school.</w:t>
            </w:r>
          </w:p>
        </w:tc>
        <w:tc>
          <w:tcPr>
            <w:tcW w:w="1769" w:type="dxa"/>
          </w:tcPr>
          <w:p w14:paraId="3560DE71" w14:textId="77777777" w:rsidR="0077525F" w:rsidRDefault="0077525F" w:rsidP="0077525F"/>
        </w:tc>
        <w:tc>
          <w:tcPr>
            <w:tcW w:w="2212" w:type="dxa"/>
          </w:tcPr>
          <w:p w14:paraId="60425E41" w14:textId="77777777" w:rsidR="0077525F" w:rsidRDefault="0077525F" w:rsidP="0077525F"/>
        </w:tc>
        <w:tc>
          <w:tcPr>
            <w:tcW w:w="1982" w:type="dxa"/>
          </w:tcPr>
          <w:p w14:paraId="6D26CF35" w14:textId="77777777" w:rsidR="0077525F" w:rsidRDefault="0077525F" w:rsidP="0077525F"/>
        </w:tc>
      </w:tr>
      <w:tr w:rsidR="0077525F" w14:paraId="49EFE5C9" w14:textId="77777777" w:rsidTr="003C4C4F">
        <w:trPr>
          <w:trHeight w:val="287"/>
        </w:trPr>
        <w:tc>
          <w:tcPr>
            <w:tcW w:w="8549" w:type="dxa"/>
            <w:vAlign w:val="center"/>
          </w:tcPr>
          <w:p w14:paraId="567DDD9A" w14:textId="134F219F" w:rsidR="0077525F" w:rsidRPr="0077525F" w:rsidRDefault="0077525F" w:rsidP="0077525F">
            <w:r w:rsidRPr="0077525F">
              <w:t>The individual needs of pupils are communicated effectively to all staff.</w:t>
            </w:r>
          </w:p>
        </w:tc>
        <w:tc>
          <w:tcPr>
            <w:tcW w:w="1769" w:type="dxa"/>
          </w:tcPr>
          <w:p w14:paraId="35AB489E" w14:textId="77777777" w:rsidR="0077525F" w:rsidRDefault="0077525F" w:rsidP="0077525F"/>
        </w:tc>
        <w:tc>
          <w:tcPr>
            <w:tcW w:w="2212" w:type="dxa"/>
          </w:tcPr>
          <w:p w14:paraId="070DAFEA" w14:textId="77777777" w:rsidR="0077525F" w:rsidRDefault="0077525F" w:rsidP="0077525F"/>
        </w:tc>
        <w:tc>
          <w:tcPr>
            <w:tcW w:w="1982" w:type="dxa"/>
          </w:tcPr>
          <w:p w14:paraId="332267AB" w14:textId="77777777" w:rsidR="0077525F" w:rsidRDefault="0077525F" w:rsidP="0077525F"/>
        </w:tc>
      </w:tr>
      <w:tr w:rsidR="0077525F" w14:paraId="6843602B" w14:textId="77777777" w:rsidTr="003C4C4F">
        <w:trPr>
          <w:trHeight w:val="287"/>
        </w:trPr>
        <w:tc>
          <w:tcPr>
            <w:tcW w:w="8549" w:type="dxa"/>
          </w:tcPr>
          <w:p w14:paraId="13FA860C" w14:textId="7BCD4E4C" w:rsidR="0077525F" w:rsidRPr="0077525F" w:rsidRDefault="0077525F" w:rsidP="0077525F">
            <w:r w:rsidRPr="0077525F">
              <w:t>Teachers use assessment information to plan and adapt lessons effectively, this includes setting homework that is matched to pupils’ individual needs. In Reception, teachers use assessment information, including all pre-school evidence, to provide quality learning experiences in an effective Early Years environment which responds to the interests and needs of children with SEND.</w:t>
            </w:r>
          </w:p>
        </w:tc>
        <w:tc>
          <w:tcPr>
            <w:tcW w:w="1769" w:type="dxa"/>
          </w:tcPr>
          <w:p w14:paraId="0CF52D9D" w14:textId="77777777" w:rsidR="0077525F" w:rsidRDefault="0077525F" w:rsidP="0077525F"/>
        </w:tc>
        <w:tc>
          <w:tcPr>
            <w:tcW w:w="2212" w:type="dxa"/>
          </w:tcPr>
          <w:p w14:paraId="34E39CCE" w14:textId="77777777" w:rsidR="0077525F" w:rsidRDefault="0077525F" w:rsidP="0077525F"/>
        </w:tc>
        <w:tc>
          <w:tcPr>
            <w:tcW w:w="1982" w:type="dxa"/>
          </w:tcPr>
          <w:p w14:paraId="1B034A3A" w14:textId="77777777" w:rsidR="0077525F" w:rsidRDefault="0077525F" w:rsidP="0077525F"/>
        </w:tc>
      </w:tr>
      <w:tr w:rsidR="0077525F" w14:paraId="1CFAB349" w14:textId="77777777" w:rsidTr="003C4C4F">
        <w:trPr>
          <w:trHeight w:val="287"/>
        </w:trPr>
        <w:tc>
          <w:tcPr>
            <w:tcW w:w="8549" w:type="dxa"/>
            <w:vAlign w:val="center"/>
          </w:tcPr>
          <w:p w14:paraId="2B77B0F2" w14:textId="58BCB1E3" w:rsidR="0077525F" w:rsidRPr="0077525F" w:rsidRDefault="0077525F" w:rsidP="0077525F">
            <w:r w:rsidRPr="0077525F">
              <w:t>Evidence from observations shows the teaching of interventions is consistently good or better.</w:t>
            </w:r>
          </w:p>
        </w:tc>
        <w:tc>
          <w:tcPr>
            <w:tcW w:w="1769" w:type="dxa"/>
          </w:tcPr>
          <w:p w14:paraId="29CC05F6" w14:textId="77777777" w:rsidR="0077525F" w:rsidRDefault="0077525F" w:rsidP="0077525F"/>
        </w:tc>
        <w:tc>
          <w:tcPr>
            <w:tcW w:w="2212" w:type="dxa"/>
          </w:tcPr>
          <w:p w14:paraId="130D843D" w14:textId="77777777" w:rsidR="0077525F" w:rsidRDefault="0077525F" w:rsidP="0077525F"/>
        </w:tc>
        <w:tc>
          <w:tcPr>
            <w:tcW w:w="1982" w:type="dxa"/>
          </w:tcPr>
          <w:p w14:paraId="0896D1C9" w14:textId="77777777" w:rsidR="0077525F" w:rsidRDefault="0077525F" w:rsidP="0077525F"/>
        </w:tc>
      </w:tr>
      <w:tr w:rsidR="0077525F" w14:paraId="49F7B6ED" w14:textId="77777777" w:rsidTr="003C4C4F">
        <w:trPr>
          <w:trHeight w:val="287"/>
        </w:trPr>
        <w:tc>
          <w:tcPr>
            <w:tcW w:w="8549" w:type="dxa"/>
            <w:vAlign w:val="center"/>
          </w:tcPr>
          <w:p w14:paraId="0EAB927A" w14:textId="3F3176FE" w:rsidR="0077525F" w:rsidRPr="0077525F" w:rsidRDefault="0077525F" w:rsidP="0077525F">
            <w:r w:rsidRPr="0077525F">
              <w:t>Outcomes from interventions are integrated into classroom teaching and teachers capitalise on learning from interventions in whole class and small group teaching.</w:t>
            </w:r>
          </w:p>
        </w:tc>
        <w:tc>
          <w:tcPr>
            <w:tcW w:w="1769" w:type="dxa"/>
          </w:tcPr>
          <w:p w14:paraId="671EF95B" w14:textId="77777777" w:rsidR="0077525F" w:rsidRDefault="0077525F" w:rsidP="0077525F"/>
        </w:tc>
        <w:tc>
          <w:tcPr>
            <w:tcW w:w="2212" w:type="dxa"/>
          </w:tcPr>
          <w:p w14:paraId="2A510A40" w14:textId="77777777" w:rsidR="0077525F" w:rsidRDefault="0077525F" w:rsidP="0077525F"/>
        </w:tc>
        <w:tc>
          <w:tcPr>
            <w:tcW w:w="1982" w:type="dxa"/>
          </w:tcPr>
          <w:p w14:paraId="02030C33" w14:textId="77777777" w:rsidR="0077525F" w:rsidRDefault="0077525F" w:rsidP="0077525F"/>
        </w:tc>
      </w:tr>
    </w:tbl>
    <w:p w14:paraId="07C271AC" w14:textId="15A275CA" w:rsidR="008208A5" w:rsidRDefault="008208A5" w:rsidP="00287051"/>
    <w:p w14:paraId="148D84A7" w14:textId="1426ABF9" w:rsidR="00127F19" w:rsidRDefault="00127F19" w:rsidP="00287051"/>
    <w:p w14:paraId="07D2D51F" w14:textId="3DB773EC" w:rsidR="0026144B" w:rsidRDefault="0026144B">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41E6E8C5" w14:textId="77777777" w:rsidR="00127F19" w:rsidRDefault="00127F19" w:rsidP="00127F19"/>
    <w:tbl>
      <w:tblPr>
        <w:tblStyle w:val="TableGrid"/>
        <w:tblW w:w="14512" w:type="dxa"/>
        <w:tblLook w:val="04A0" w:firstRow="1" w:lastRow="0" w:firstColumn="1" w:lastColumn="0" w:noHBand="0" w:noVBand="1"/>
      </w:tblPr>
      <w:tblGrid>
        <w:gridCol w:w="8549"/>
        <w:gridCol w:w="1769"/>
        <w:gridCol w:w="2212"/>
        <w:gridCol w:w="1982"/>
      </w:tblGrid>
      <w:tr w:rsidR="00127F19" w:rsidRPr="00466DC3" w14:paraId="381A12CF" w14:textId="77777777" w:rsidTr="003C4C4F">
        <w:trPr>
          <w:trHeight w:val="287"/>
        </w:trPr>
        <w:tc>
          <w:tcPr>
            <w:tcW w:w="14512" w:type="dxa"/>
            <w:gridSpan w:val="4"/>
          </w:tcPr>
          <w:p w14:paraId="3E46AAFA" w14:textId="00BCD54E" w:rsidR="00127F19" w:rsidRPr="0026144B" w:rsidRDefault="00127F19" w:rsidP="0026144B">
            <w:pPr>
              <w:pStyle w:val="ListParagraph"/>
              <w:numPr>
                <w:ilvl w:val="0"/>
                <w:numId w:val="17"/>
              </w:numPr>
              <w:jc w:val="center"/>
              <w:rPr>
                <w:b/>
                <w:bCs/>
              </w:rPr>
            </w:pPr>
            <w:r w:rsidRPr="0026144B">
              <w:rPr>
                <w:b/>
                <w:bCs/>
                <w:sz w:val="26"/>
                <w:szCs w:val="26"/>
              </w:rPr>
              <w:t>WORKING WITH PUPILS AND PARENTS/CARERS OF PUPILS WITH SEND</w:t>
            </w:r>
          </w:p>
        </w:tc>
      </w:tr>
      <w:tr w:rsidR="00127F19" w:rsidRPr="00E50A90" w14:paraId="1BDDDD47" w14:textId="77777777" w:rsidTr="003C4C4F">
        <w:trPr>
          <w:trHeight w:val="586"/>
        </w:trPr>
        <w:tc>
          <w:tcPr>
            <w:tcW w:w="8549" w:type="dxa"/>
          </w:tcPr>
          <w:p w14:paraId="5B506ECE" w14:textId="77777777" w:rsidR="00127F19" w:rsidRPr="00E50A90" w:rsidRDefault="00127F19" w:rsidP="003C4C4F">
            <w:pPr>
              <w:rPr>
                <w:b/>
                <w:bCs/>
              </w:rPr>
            </w:pPr>
            <w:r w:rsidRPr="00E50A90">
              <w:rPr>
                <w:b/>
                <w:bCs/>
              </w:rPr>
              <w:t>SUGGESTED THEMES AND AREAS TO EXPLORE</w:t>
            </w:r>
          </w:p>
        </w:tc>
        <w:tc>
          <w:tcPr>
            <w:tcW w:w="1769" w:type="dxa"/>
          </w:tcPr>
          <w:p w14:paraId="37B7CC59" w14:textId="77777777" w:rsidR="00127F19" w:rsidRPr="00E50A90" w:rsidRDefault="00127F19" w:rsidP="003C4C4F">
            <w:pPr>
              <w:rPr>
                <w:b/>
                <w:bCs/>
              </w:rPr>
            </w:pPr>
            <w:r w:rsidRPr="00E50A90">
              <w:rPr>
                <w:b/>
                <w:bCs/>
              </w:rPr>
              <w:t>STRENGTHS</w:t>
            </w:r>
          </w:p>
        </w:tc>
        <w:tc>
          <w:tcPr>
            <w:tcW w:w="2212" w:type="dxa"/>
          </w:tcPr>
          <w:p w14:paraId="2127414F" w14:textId="77777777" w:rsidR="00127F19" w:rsidRPr="00E50A90" w:rsidRDefault="00127F19" w:rsidP="003C4C4F">
            <w:pPr>
              <w:rPr>
                <w:b/>
                <w:bCs/>
              </w:rPr>
            </w:pPr>
            <w:r w:rsidRPr="00E50A90">
              <w:rPr>
                <w:b/>
                <w:bCs/>
              </w:rPr>
              <w:t>AREAS FOR DEVELOPMENT</w:t>
            </w:r>
          </w:p>
        </w:tc>
        <w:tc>
          <w:tcPr>
            <w:tcW w:w="1982" w:type="dxa"/>
          </w:tcPr>
          <w:p w14:paraId="7A013868" w14:textId="77777777" w:rsidR="00127F19" w:rsidRPr="00E50A90" w:rsidRDefault="00127F19" w:rsidP="003C4C4F">
            <w:pPr>
              <w:rPr>
                <w:b/>
                <w:bCs/>
              </w:rPr>
            </w:pPr>
            <w:r w:rsidRPr="00E50A90">
              <w:rPr>
                <w:b/>
                <w:bCs/>
              </w:rPr>
              <w:t>KEY STAKEHOLDERS</w:t>
            </w:r>
          </w:p>
        </w:tc>
      </w:tr>
      <w:tr w:rsidR="00127F19" w14:paraId="50CCEF09" w14:textId="77777777" w:rsidTr="003C4C4F">
        <w:trPr>
          <w:trHeight w:val="287"/>
        </w:trPr>
        <w:tc>
          <w:tcPr>
            <w:tcW w:w="8549" w:type="dxa"/>
          </w:tcPr>
          <w:p w14:paraId="297EAB0F" w14:textId="441D9B4B" w:rsidR="00127F19" w:rsidRPr="00127F19" w:rsidRDefault="00127F19" w:rsidP="00127F19">
            <w:r w:rsidRPr="00127F19">
              <w:t>The SEND information report reflects current practice and provision, is reviewed annually and pupils and parents/carers of pupils with SEND are involved in developing the report.</w:t>
            </w:r>
          </w:p>
        </w:tc>
        <w:tc>
          <w:tcPr>
            <w:tcW w:w="1769" w:type="dxa"/>
          </w:tcPr>
          <w:p w14:paraId="7B75361D" w14:textId="77777777" w:rsidR="00127F19" w:rsidRDefault="00127F19" w:rsidP="00127F19"/>
        </w:tc>
        <w:tc>
          <w:tcPr>
            <w:tcW w:w="2212" w:type="dxa"/>
          </w:tcPr>
          <w:p w14:paraId="5AA9E44E" w14:textId="77777777" w:rsidR="00127F19" w:rsidRDefault="00127F19" w:rsidP="00127F19"/>
        </w:tc>
        <w:tc>
          <w:tcPr>
            <w:tcW w:w="1982" w:type="dxa"/>
          </w:tcPr>
          <w:p w14:paraId="42A86239" w14:textId="77777777" w:rsidR="00127F19" w:rsidRDefault="00127F19" w:rsidP="00127F19"/>
        </w:tc>
      </w:tr>
      <w:tr w:rsidR="00127F19" w14:paraId="03FDDC12" w14:textId="77777777" w:rsidTr="003C4C4F">
        <w:trPr>
          <w:trHeight w:val="287"/>
        </w:trPr>
        <w:tc>
          <w:tcPr>
            <w:tcW w:w="8549" w:type="dxa"/>
          </w:tcPr>
          <w:p w14:paraId="1253F17C" w14:textId="3CF045CD" w:rsidR="00127F19" w:rsidRPr="00127F19" w:rsidRDefault="00127F19" w:rsidP="00127F19">
            <w:r w:rsidRPr="00127F19">
              <w:t>Systems are in place to enable parents/carers to meaningfully contribute to shaping the quality of support and provision.</w:t>
            </w:r>
          </w:p>
        </w:tc>
        <w:tc>
          <w:tcPr>
            <w:tcW w:w="1769" w:type="dxa"/>
          </w:tcPr>
          <w:p w14:paraId="3963D167" w14:textId="77777777" w:rsidR="00127F19" w:rsidRDefault="00127F19" w:rsidP="00127F19"/>
        </w:tc>
        <w:tc>
          <w:tcPr>
            <w:tcW w:w="2212" w:type="dxa"/>
          </w:tcPr>
          <w:p w14:paraId="45652E77" w14:textId="77777777" w:rsidR="00127F19" w:rsidRDefault="00127F19" w:rsidP="00127F19"/>
        </w:tc>
        <w:tc>
          <w:tcPr>
            <w:tcW w:w="1982" w:type="dxa"/>
          </w:tcPr>
          <w:p w14:paraId="55B46119" w14:textId="77777777" w:rsidR="00127F19" w:rsidRDefault="00127F19" w:rsidP="00127F19"/>
        </w:tc>
      </w:tr>
      <w:tr w:rsidR="00127F19" w14:paraId="29F4493B" w14:textId="77777777" w:rsidTr="003C4C4F">
        <w:trPr>
          <w:trHeight w:val="287"/>
        </w:trPr>
        <w:tc>
          <w:tcPr>
            <w:tcW w:w="8549" w:type="dxa"/>
            <w:vAlign w:val="center"/>
          </w:tcPr>
          <w:p w14:paraId="6DAE38F5" w14:textId="1BAA3620" w:rsidR="00127F19" w:rsidRPr="00127F19" w:rsidRDefault="00127F19" w:rsidP="00127F19">
            <w:r w:rsidRPr="00127F19">
              <w:t>In the Early Years, strong partnerships with parents/carers are established to ensure ongoing effective parental engagement.</w:t>
            </w:r>
          </w:p>
        </w:tc>
        <w:tc>
          <w:tcPr>
            <w:tcW w:w="1769" w:type="dxa"/>
          </w:tcPr>
          <w:p w14:paraId="4FCBF189" w14:textId="77777777" w:rsidR="00127F19" w:rsidRDefault="00127F19" w:rsidP="00127F19"/>
        </w:tc>
        <w:tc>
          <w:tcPr>
            <w:tcW w:w="2212" w:type="dxa"/>
          </w:tcPr>
          <w:p w14:paraId="5DFDE936" w14:textId="77777777" w:rsidR="00127F19" w:rsidRDefault="00127F19" w:rsidP="00127F19"/>
        </w:tc>
        <w:tc>
          <w:tcPr>
            <w:tcW w:w="1982" w:type="dxa"/>
          </w:tcPr>
          <w:p w14:paraId="70E8B1A7" w14:textId="77777777" w:rsidR="00127F19" w:rsidRDefault="00127F19" w:rsidP="00127F19"/>
        </w:tc>
      </w:tr>
      <w:tr w:rsidR="00127F19" w14:paraId="150CC83F" w14:textId="77777777" w:rsidTr="003C4C4F">
        <w:trPr>
          <w:trHeight w:val="287"/>
        </w:trPr>
        <w:tc>
          <w:tcPr>
            <w:tcW w:w="8549" w:type="dxa"/>
            <w:vAlign w:val="center"/>
          </w:tcPr>
          <w:p w14:paraId="00D97FE4" w14:textId="266AE89D" w:rsidR="00127F19" w:rsidRPr="00127F19" w:rsidRDefault="00127F19" w:rsidP="00127F19">
            <w:r w:rsidRPr="00127F19">
              <w:t>The school and parents/carers work in partnership to achieve genuine co-production, for example parent/carer forums and workshops, and structured conversations for pupils with SEND with EHC plans.</w:t>
            </w:r>
          </w:p>
        </w:tc>
        <w:tc>
          <w:tcPr>
            <w:tcW w:w="1769" w:type="dxa"/>
          </w:tcPr>
          <w:p w14:paraId="330C04FA" w14:textId="77777777" w:rsidR="00127F19" w:rsidRDefault="00127F19" w:rsidP="00127F19"/>
        </w:tc>
        <w:tc>
          <w:tcPr>
            <w:tcW w:w="2212" w:type="dxa"/>
          </w:tcPr>
          <w:p w14:paraId="6F27B8AB" w14:textId="77777777" w:rsidR="00127F19" w:rsidRDefault="00127F19" w:rsidP="00127F19"/>
        </w:tc>
        <w:tc>
          <w:tcPr>
            <w:tcW w:w="1982" w:type="dxa"/>
          </w:tcPr>
          <w:p w14:paraId="61E47942" w14:textId="77777777" w:rsidR="00127F19" w:rsidRDefault="00127F19" w:rsidP="00127F19"/>
        </w:tc>
      </w:tr>
      <w:tr w:rsidR="00127F19" w14:paraId="6133F59F" w14:textId="77777777" w:rsidTr="003C4C4F">
        <w:trPr>
          <w:trHeight w:val="287"/>
        </w:trPr>
        <w:tc>
          <w:tcPr>
            <w:tcW w:w="8549" w:type="dxa"/>
          </w:tcPr>
          <w:p w14:paraId="5BAACE9C" w14:textId="2162D138" w:rsidR="00127F19" w:rsidRPr="00127F19" w:rsidRDefault="00127F19" w:rsidP="00127F19">
            <w:r w:rsidRPr="00127F19">
              <w:t>Pupils with SEND communicate positively about the support they receive. Where appropriate, they articulate how the support they have had from the school has made a real difference. Staff use a variety of approaches to understand and act upon the views and wishes of children with SEND in the Early Years in order to positively impact on their learning and development.</w:t>
            </w:r>
          </w:p>
        </w:tc>
        <w:tc>
          <w:tcPr>
            <w:tcW w:w="1769" w:type="dxa"/>
          </w:tcPr>
          <w:p w14:paraId="42C527F7" w14:textId="77777777" w:rsidR="00127F19" w:rsidRDefault="00127F19" w:rsidP="00127F19"/>
        </w:tc>
        <w:tc>
          <w:tcPr>
            <w:tcW w:w="2212" w:type="dxa"/>
          </w:tcPr>
          <w:p w14:paraId="209AFAC9" w14:textId="77777777" w:rsidR="00127F19" w:rsidRDefault="00127F19" w:rsidP="00127F19"/>
        </w:tc>
        <w:tc>
          <w:tcPr>
            <w:tcW w:w="1982" w:type="dxa"/>
          </w:tcPr>
          <w:p w14:paraId="7493B281" w14:textId="77777777" w:rsidR="00127F19" w:rsidRDefault="00127F19" w:rsidP="00127F19"/>
        </w:tc>
      </w:tr>
      <w:tr w:rsidR="00127F19" w14:paraId="07C20997" w14:textId="77777777" w:rsidTr="003C4C4F">
        <w:trPr>
          <w:trHeight w:val="287"/>
        </w:trPr>
        <w:tc>
          <w:tcPr>
            <w:tcW w:w="8549" w:type="dxa"/>
            <w:vAlign w:val="center"/>
          </w:tcPr>
          <w:p w14:paraId="2D29705A" w14:textId="39F696B6" w:rsidR="00127F19" w:rsidRPr="00127F19" w:rsidRDefault="00127F19" w:rsidP="00127F19">
            <w:r w:rsidRPr="00127F19">
              <w:t>Pupils with SEND are proportionally represented in all opportunities for shared decision making at a whole school level. For example, pupils with SEND are represented on the school council.</w:t>
            </w:r>
          </w:p>
        </w:tc>
        <w:tc>
          <w:tcPr>
            <w:tcW w:w="1769" w:type="dxa"/>
          </w:tcPr>
          <w:p w14:paraId="29C7FCA5" w14:textId="77777777" w:rsidR="00127F19" w:rsidRDefault="00127F19" w:rsidP="00127F19"/>
        </w:tc>
        <w:tc>
          <w:tcPr>
            <w:tcW w:w="2212" w:type="dxa"/>
          </w:tcPr>
          <w:p w14:paraId="78341882" w14:textId="77777777" w:rsidR="00127F19" w:rsidRDefault="00127F19" w:rsidP="00127F19"/>
        </w:tc>
        <w:tc>
          <w:tcPr>
            <w:tcW w:w="1982" w:type="dxa"/>
          </w:tcPr>
          <w:p w14:paraId="019D39E0" w14:textId="77777777" w:rsidR="00127F19" w:rsidRDefault="00127F19" w:rsidP="00127F19"/>
        </w:tc>
      </w:tr>
      <w:tr w:rsidR="00127F19" w14:paraId="6C3CA03D" w14:textId="77777777" w:rsidTr="003C4C4F">
        <w:trPr>
          <w:trHeight w:val="287"/>
        </w:trPr>
        <w:tc>
          <w:tcPr>
            <w:tcW w:w="8549" w:type="dxa"/>
            <w:vAlign w:val="center"/>
          </w:tcPr>
          <w:p w14:paraId="41247A37" w14:textId="6CDC2F61" w:rsidR="00127F19" w:rsidRPr="00127F19" w:rsidRDefault="00127F19" w:rsidP="00127F19">
            <w:r w:rsidRPr="00127F19">
              <w:t>Pupils with SEND are involved in wrap-around activities; they are supported through a variety of enrichment activities, lunchtime clubs and out of hours support.</w:t>
            </w:r>
          </w:p>
        </w:tc>
        <w:tc>
          <w:tcPr>
            <w:tcW w:w="1769" w:type="dxa"/>
          </w:tcPr>
          <w:p w14:paraId="2F7155F7" w14:textId="77777777" w:rsidR="00127F19" w:rsidRDefault="00127F19" w:rsidP="00127F19"/>
        </w:tc>
        <w:tc>
          <w:tcPr>
            <w:tcW w:w="2212" w:type="dxa"/>
          </w:tcPr>
          <w:p w14:paraId="29FBBCB3" w14:textId="77777777" w:rsidR="00127F19" w:rsidRDefault="00127F19" w:rsidP="00127F19"/>
        </w:tc>
        <w:tc>
          <w:tcPr>
            <w:tcW w:w="1982" w:type="dxa"/>
          </w:tcPr>
          <w:p w14:paraId="3982DBF2" w14:textId="77777777" w:rsidR="00127F19" w:rsidRDefault="00127F19" w:rsidP="00127F19"/>
        </w:tc>
      </w:tr>
      <w:tr w:rsidR="00127F19" w14:paraId="3406DBC5" w14:textId="77777777" w:rsidTr="003C4C4F">
        <w:trPr>
          <w:trHeight w:val="287"/>
        </w:trPr>
        <w:tc>
          <w:tcPr>
            <w:tcW w:w="8549" w:type="dxa"/>
            <w:vAlign w:val="center"/>
          </w:tcPr>
          <w:p w14:paraId="55C584DF" w14:textId="0629D469" w:rsidR="00127F19" w:rsidRPr="00127F19" w:rsidRDefault="00127F19" w:rsidP="00127F19">
            <w:r w:rsidRPr="00127F19">
              <w:t>Pupils and their parents/carers are made aware of services that provide impartial advice and support such as the SEND Information, Advice and Support Service (SENDIASS).</w:t>
            </w:r>
          </w:p>
        </w:tc>
        <w:tc>
          <w:tcPr>
            <w:tcW w:w="1769" w:type="dxa"/>
          </w:tcPr>
          <w:p w14:paraId="1587345C" w14:textId="77777777" w:rsidR="00127F19" w:rsidRDefault="00127F19" w:rsidP="00127F19"/>
        </w:tc>
        <w:tc>
          <w:tcPr>
            <w:tcW w:w="2212" w:type="dxa"/>
          </w:tcPr>
          <w:p w14:paraId="7EF05CA0" w14:textId="77777777" w:rsidR="00127F19" w:rsidRDefault="00127F19" w:rsidP="00127F19"/>
        </w:tc>
        <w:tc>
          <w:tcPr>
            <w:tcW w:w="1982" w:type="dxa"/>
          </w:tcPr>
          <w:p w14:paraId="661E5099" w14:textId="77777777" w:rsidR="00127F19" w:rsidRDefault="00127F19" w:rsidP="00127F19"/>
        </w:tc>
      </w:tr>
    </w:tbl>
    <w:p w14:paraId="5A50B3A8" w14:textId="650914FD" w:rsidR="00D66726" w:rsidRDefault="00D66726" w:rsidP="00287051"/>
    <w:p w14:paraId="7E4F7C37" w14:textId="447C012A" w:rsidR="0026144B" w:rsidRDefault="0026144B">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64458CBC" w14:textId="77777777" w:rsidR="00D66726" w:rsidRDefault="00D66726" w:rsidP="00D66726">
      <w:pPr>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D66726" w:rsidRPr="00466DC3" w14:paraId="68D22B75" w14:textId="77777777" w:rsidTr="003C4C4F">
        <w:trPr>
          <w:trHeight w:val="287"/>
        </w:trPr>
        <w:tc>
          <w:tcPr>
            <w:tcW w:w="14512" w:type="dxa"/>
            <w:gridSpan w:val="4"/>
          </w:tcPr>
          <w:p w14:paraId="77754482" w14:textId="6B35ECE1" w:rsidR="00D66726" w:rsidRPr="0026144B" w:rsidRDefault="00D66726" w:rsidP="0026144B">
            <w:pPr>
              <w:pStyle w:val="ListParagraph"/>
              <w:numPr>
                <w:ilvl w:val="0"/>
                <w:numId w:val="17"/>
              </w:numPr>
              <w:jc w:val="center"/>
              <w:rPr>
                <w:b/>
                <w:bCs/>
              </w:rPr>
            </w:pPr>
            <w:r w:rsidRPr="0026144B">
              <w:rPr>
                <w:b/>
                <w:bCs/>
                <w:sz w:val="26"/>
                <w:szCs w:val="26"/>
              </w:rPr>
              <w:t>ASSESSMENT AND IDENTIFICATION</w:t>
            </w:r>
          </w:p>
        </w:tc>
      </w:tr>
      <w:tr w:rsidR="00D66726" w:rsidRPr="00E50A90" w14:paraId="7DA07A89" w14:textId="77777777" w:rsidTr="003C4C4F">
        <w:trPr>
          <w:trHeight w:val="586"/>
        </w:trPr>
        <w:tc>
          <w:tcPr>
            <w:tcW w:w="8549" w:type="dxa"/>
          </w:tcPr>
          <w:p w14:paraId="61DA07A3" w14:textId="77777777" w:rsidR="00D66726" w:rsidRPr="00E50A90" w:rsidRDefault="00D66726" w:rsidP="003C4C4F">
            <w:pPr>
              <w:rPr>
                <w:b/>
                <w:bCs/>
              </w:rPr>
            </w:pPr>
            <w:r w:rsidRPr="00E50A90">
              <w:rPr>
                <w:b/>
                <w:bCs/>
              </w:rPr>
              <w:t>SUGGESTED THEMES AND AREAS TO EXPLORE</w:t>
            </w:r>
          </w:p>
        </w:tc>
        <w:tc>
          <w:tcPr>
            <w:tcW w:w="1769" w:type="dxa"/>
          </w:tcPr>
          <w:p w14:paraId="0463D3C8" w14:textId="77777777" w:rsidR="00D66726" w:rsidRPr="00E50A90" w:rsidRDefault="00D66726" w:rsidP="003C4C4F">
            <w:pPr>
              <w:rPr>
                <w:b/>
                <w:bCs/>
              </w:rPr>
            </w:pPr>
            <w:r w:rsidRPr="00E50A90">
              <w:rPr>
                <w:b/>
                <w:bCs/>
              </w:rPr>
              <w:t>STRENGTHS</w:t>
            </w:r>
          </w:p>
        </w:tc>
        <w:tc>
          <w:tcPr>
            <w:tcW w:w="2212" w:type="dxa"/>
          </w:tcPr>
          <w:p w14:paraId="04C051CA" w14:textId="77777777" w:rsidR="00D66726" w:rsidRPr="00E50A90" w:rsidRDefault="00D66726" w:rsidP="003C4C4F">
            <w:pPr>
              <w:rPr>
                <w:b/>
                <w:bCs/>
              </w:rPr>
            </w:pPr>
            <w:r w:rsidRPr="00E50A90">
              <w:rPr>
                <w:b/>
                <w:bCs/>
              </w:rPr>
              <w:t>AREAS FOR DEVELOPMENT</w:t>
            </w:r>
          </w:p>
        </w:tc>
        <w:tc>
          <w:tcPr>
            <w:tcW w:w="1982" w:type="dxa"/>
          </w:tcPr>
          <w:p w14:paraId="610E5359" w14:textId="77777777" w:rsidR="00D66726" w:rsidRPr="00E50A90" w:rsidRDefault="00D66726" w:rsidP="003C4C4F">
            <w:pPr>
              <w:rPr>
                <w:b/>
                <w:bCs/>
              </w:rPr>
            </w:pPr>
            <w:r w:rsidRPr="00E50A90">
              <w:rPr>
                <w:b/>
                <w:bCs/>
              </w:rPr>
              <w:t>KEY STAKEHOLDERS</w:t>
            </w:r>
          </w:p>
        </w:tc>
      </w:tr>
      <w:tr w:rsidR="00D66726" w14:paraId="59DCF4FC" w14:textId="77777777" w:rsidTr="003C4C4F">
        <w:trPr>
          <w:trHeight w:val="287"/>
        </w:trPr>
        <w:tc>
          <w:tcPr>
            <w:tcW w:w="8549" w:type="dxa"/>
          </w:tcPr>
          <w:p w14:paraId="1089C79E" w14:textId="5B379DC2" w:rsidR="00D66726" w:rsidRPr="00D66726" w:rsidRDefault="00D66726" w:rsidP="00D66726">
            <w:r w:rsidRPr="00D66726">
              <w:t>Comprehensive assessment supports accurate identification of need and informs classroom practice.</w:t>
            </w:r>
          </w:p>
        </w:tc>
        <w:tc>
          <w:tcPr>
            <w:tcW w:w="1769" w:type="dxa"/>
          </w:tcPr>
          <w:p w14:paraId="10BBB6F7" w14:textId="77777777" w:rsidR="00D66726" w:rsidRDefault="00D66726" w:rsidP="00D66726"/>
        </w:tc>
        <w:tc>
          <w:tcPr>
            <w:tcW w:w="2212" w:type="dxa"/>
          </w:tcPr>
          <w:p w14:paraId="0C66EEE9" w14:textId="77777777" w:rsidR="00D66726" w:rsidRDefault="00D66726" w:rsidP="00D66726"/>
        </w:tc>
        <w:tc>
          <w:tcPr>
            <w:tcW w:w="1982" w:type="dxa"/>
          </w:tcPr>
          <w:p w14:paraId="63E81791" w14:textId="77777777" w:rsidR="00D66726" w:rsidRDefault="00D66726" w:rsidP="00D66726"/>
        </w:tc>
      </w:tr>
      <w:tr w:rsidR="00D66726" w14:paraId="0BF0BD53" w14:textId="77777777" w:rsidTr="003C4C4F">
        <w:trPr>
          <w:trHeight w:val="287"/>
        </w:trPr>
        <w:tc>
          <w:tcPr>
            <w:tcW w:w="8549" w:type="dxa"/>
            <w:vAlign w:val="center"/>
          </w:tcPr>
          <w:p w14:paraId="5BF89AC0" w14:textId="2D9BC0CA" w:rsidR="00D66726" w:rsidRPr="00D66726" w:rsidRDefault="00D66726" w:rsidP="00D66726">
            <w:r w:rsidRPr="00D66726">
              <w:t xml:space="preserve">The effectiveness of classroom teaching is </w:t>
            </w:r>
            <w:proofErr w:type="gramStart"/>
            <w:r w:rsidRPr="00D66726">
              <w:t>taken into account</w:t>
            </w:r>
            <w:proofErr w:type="gramEnd"/>
            <w:r w:rsidRPr="00D66726">
              <w:t xml:space="preserve"> before assuming a pupil has SEND.</w:t>
            </w:r>
          </w:p>
        </w:tc>
        <w:tc>
          <w:tcPr>
            <w:tcW w:w="1769" w:type="dxa"/>
          </w:tcPr>
          <w:p w14:paraId="6B55A9F0" w14:textId="77777777" w:rsidR="00D66726" w:rsidRDefault="00D66726" w:rsidP="00D66726"/>
        </w:tc>
        <w:tc>
          <w:tcPr>
            <w:tcW w:w="2212" w:type="dxa"/>
          </w:tcPr>
          <w:p w14:paraId="5065557F" w14:textId="77777777" w:rsidR="00D66726" w:rsidRDefault="00D66726" w:rsidP="00D66726"/>
        </w:tc>
        <w:tc>
          <w:tcPr>
            <w:tcW w:w="1982" w:type="dxa"/>
          </w:tcPr>
          <w:p w14:paraId="5A8DC5F9" w14:textId="77777777" w:rsidR="00D66726" w:rsidRDefault="00D66726" w:rsidP="00D66726"/>
        </w:tc>
      </w:tr>
      <w:tr w:rsidR="00D66726" w14:paraId="0718CA79" w14:textId="77777777" w:rsidTr="003C4C4F">
        <w:trPr>
          <w:trHeight w:val="287"/>
        </w:trPr>
        <w:tc>
          <w:tcPr>
            <w:tcW w:w="8549" w:type="dxa"/>
          </w:tcPr>
          <w:p w14:paraId="48351694" w14:textId="5D1C2BD1" w:rsidR="00D66726" w:rsidRPr="00D66726" w:rsidRDefault="00D66726" w:rsidP="00D66726">
            <w:r w:rsidRPr="00D66726">
              <w:t>The school scrutinises behaviour, exclusion and attendance data to ensure additional learning needs are not missed.</w:t>
            </w:r>
          </w:p>
        </w:tc>
        <w:tc>
          <w:tcPr>
            <w:tcW w:w="1769" w:type="dxa"/>
          </w:tcPr>
          <w:p w14:paraId="37B00F7F" w14:textId="77777777" w:rsidR="00D66726" w:rsidRDefault="00D66726" w:rsidP="00D66726"/>
        </w:tc>
        <w:tc>
          <w:tcPr>
            <w:tcW w:w="2212" w:type="dxa"/>
          </w:tcPr>
          <w:p w14:paraId="784F4BE8" w14:textId="77777777" w:rsidR="00D66726" w:rsidRDefault="00D66726" w:rsidP="00D66726"/>
        </w:tc>
        <w:tc>
          <w:tcPr>
            <w:tcW w:w="1982" w:type="dxa"/>
          </w:tcPr>
          <w:p w14:paraId="151FFC25" w14:textId="77777777" w:rsidR="00D66726" w:rsidRDefault="00D66726" w:rsidP="00D66726"/>
        </w:tc>
      </w:tr>
      <w:tr w:rsidR="00D66726" w14:paraId="5BC2600E" w14:textId="77777777" w:rsidTr="003C4C4F">
        <w:trPr>
          <w:trHeight w:val="287"/>
        </w:trPr>
        <w:tc>
          <w:tcPr>
            <w:tcW w:w="8549" w:type="dxa"/>
            <w:vAlign w:val="center"/>
          </w:tcPr>
          <w:p w14:paraId="4FB84844" w14:textId="4AEBEA4D" w:rsidR="00D66726" w:rsidRPr="00D66726" w:rsidRDefault="00D66726" w:rsidP="00D66726">
            <w:r w:rsidRPr="00D66726">
              <w:t>The SEND register is accurate and reviewed at least termly.</w:t>
            </w:r>
          </w:p>
        </w:tc>
        <w:tc>
          <w:tcPr>
            <w:tcW w:w="1769" w:type="dxa"/>
          </w:tcPr>
          <w:p w14:paraId="6BB94A24" w14:textId="77777777" w:rsidR="00D66726" w:rsidRDefault="00D66726" w:rsidP="00D66726"/>
        </w:tc>
        <w:tc>
          <w:tcPr>
            <w:tcW w:w="2212" w:type="dxa"/>
          </w:tcPr>
          <w:p w14:paraId="3E5E476E" w14:textId="77777777" w:rsidR="00D66726" w:rsidRDefault="00D66726" w:rsidP="00D66726"/>
        </w:tc>
        <w:tc>
          <w:tcPr>
            <w:tcW w:w="1982" w:type="dxa"/>
          </w:tcPr>
          <w:p w14:paraId="41E726A5" w14:textId="77777777" w:rsidR="00D66726" w:rsidRDefault="00D66726" w:rsidP="00D66726"/>
        </w:tc>
      </w:tr>
      <w:tr w:rsidR="00D66726" w14:paraId="03513EBB" w14:textId="77777777" w:rsidTr="003C4C4F">
        <w:trPr>
          <w:trHeight w:val="287"/>
        </w:trPr>
        <w:tc>
          <w:tcPr>
            <w:tcW w:w="8549" w:type="dxa"/>
            <w:vAlign w:val="center"/>
          </w:tcPr>
          <w:p w14:paraId="2F4BD13A" w14:textId="5EE03EF5" w:rsidR="00D66726" w:rsidRPr="00D66726" w:rsidRDefault="00D66726" w:rsidP="00D66726">
            <w:r w:rsidRPr="00D66726">
              <w:t>Parents/carers are fully involved in discussions with the school on identification and assessment.</w:t>
            </w:r>
          </w:p>
        </w:tc>
        <w:tc>
          <w:tcPr>
            <w:tcW w:w="1769" w:type="dxa"/>
          </w:tcPr>
          <w:p w14:paraId="0AA66196" w14:textId="77777777" w:rsidR="00D66726" w:rsidRDefault="00D66726" w:rsidP="00D66726"/>
        </w:tc>
        <w:tc>
          <w:tcPr>
            <w:tcW w:w="2212" w:type="dxa"/>
          </w:tcPr>
          <w:p w14:paraId="2BFA5DDB" w14:textId="77777777" w:rsidR="00D66726" w:rsidRDefault="00D66726" w:rsidP="00D66726"/>
        </w:tc>
        <w:tc>
          <w:tcPr>
            <w:tcW w:w="1982" w:type="dxa"/>
          </w:tcPr>
          <w:p w14:paraId="3EEF7466" w14:textId="77777777" w:rsidR="00D66726" w:rsidRDefault="00D66726" w:rsidP="00D66726"/>
        </w:tc>
      </w:tr>
    </w:tbl>
    <w:p w14:paraId="28770966" w14:textId="20D42305" w:rsidR="00D66726" w:rsidRDefault="00D66726" w:rsidP="00287051"/>
    <w:p w14:paraId="05503B4E" w14:textId="56ADE437" w:rsidR="0026144B" w:rsidRDefault="0026144B" w:rsidP="00287051"/>
    <w:p w14:paraId="6818F841" w14:textId="77777777" w:rsidR="0026144B" w:rsidRDefault="0026144B" w:rsidP="00287051"/>
    <w:tbl>
      <w:tblPr>
        <w:tblStyle w:val="TableGrid"/>
        <w:tblW w:w="14512" w:type="dxa"/>
        <w:tblLook w:val="04A0" w:firstRow="1" w:lastRow="0" w:firstColumn="1" w:lastColumn="0" w:noHBand="0" w:noVBand="1"/>
      </w:tblPr>
      <w:tblGrid>
        <w:gridCol w:w="8549"/>
        <w:gridCol w:w="1769"/>
        <w:gridCol w:w="2212"/>
        <w:gridCol w:w="1982"/>
      </w:tblGrid>
      <w:tr w:rsidR="00D66726" w:rsidRPr="00466DC3" w14:paraId="659868E3" w14:textId="77777777" w:rsidTr="003C4C4F">
        <w:trPr>
          <w:trHeight w:val="287"/>
        </w:trPr>
        <w:tc>
          <w:tcPr>
            <w:tcW w:w="14512" w:type="dxa"/>
            <w:gridSpan w:val="4"/>
          </w:tcPr>
          <w:p w14:paraId="51C3F4EF" w14:textId="598CB637" w:rsidR="00D66726" w:rsidRPr="0026144B" w:rsidRDefault="00D66726" w:rsidP="0026144B">
            <w:pPr>
              <w:pStyle w:val="ListParagraph"/>
              <w:numPr>
                <w:ilvl w:val="0"/>
                <w:numId w:val="17"/>
              </w:numPr>
              <w:jc w:val="center"/>
              <w:rPr>
                <w:b/>
                <w:bCs/>
              </w:rPr>
            </w:pPr>
            <w:r w:rsidRPr="0026144B">
              <w:rPr>
                <w:b/>
                <w:bCs/>
                <w:sz w:val="26"/>
                <w:szCs w:val="26"/>
              </w:rPr>
              <w:t>MONITORING, TRACKING AND EVALUATION</w:t>
            </w:r>
          </w:p>
        </w:tc>
      </w:tr>
      <w:tr w:rsidR="00D66726" w:rsidRPr="00E50A90" w14:paraId="627D19A4" w14:textId="77777777" w:rsidTr="003C4C4F">
        <w:trPr>
          <w:trHeight w:val="586"/>
        </w:trPr>
        <w:tc>
          <w:tcPr>
            <w:tcW w:w="8549" w:type="dxa"/>
          </w:tcPr>
          <w:p w14:paraId="22FCB42B" w14:textId="77777777" w:rsidR="00D66726" w:rsidRPr="00E50A90" w:rsidRDefault="00D66726" w:rsidP="003C4C4F">
            <w:pPr>
              <w:rPr>
                <w:b/>
                <w:bCs/>
              </w:rPr>
            </w:pPr>
            <w:r w:rsidRPr="00E50A90">
              <w:rPr>
                <w:b/>
                <w:bCs/>
              </w:rPr>
              <w:t>SUGGESTED THEMES AND AREAS TO EXPLORE</w:t>
            </w:r>
          </w:p>
        </w:tc>
        <w:tc>
          <w:tcPr>
            <w:tcW w:w="1769" w:type="dxa"/>
          </w:tcPr>
          <w:p w14:paraId="53989815" w14:textId="77777777" w:rsidR="00D66726" w:rsidRPr="00E50A90" w:rsidRDefault="00D66726" w:rsidP="003C4C4F">
            <w:pPr>
              <w:rPr>
                <w:b/>
                <w:bCs/>
              </w:rPr>
            </w:pPr>
            <w:r w:rsidRPr="00E50A90">
              <w:rPr>
                <w:b/>
                <w:bCs/>
              </w:rPr>
              <w:t>STRENGTHS</w:t>
            </w:r>
          </w:p>
        </w:tc>
        <w:tc>
          <w:tcPr>
            <w:tcW w:w="2212" w:type="dxa"/>
          </w:tcPr>
          <w:p w14:paraId="200F3BE4" w14:textId="77777777" w:rsidR="00D66726" w:rsidRPr="00E50A90" w:rsidRDefault="00D66726" w:rsidP="003C4C4F">
            <w:pPr>
              <w:rPr>
                <w:b/>
                <w:bCs/>
              </w:rPr>
            </w:pPr>
            <w:r w:rsidRPr="00E50A90">
              <w:rPr>
                <w:b/>
                <w:bCs/>
              </w:rPr>
              <w:t>AREAS FOR DEVELOPMENT</w:t>
            </w:r>
          </w:p>
        </w:tc>
        <w:tc>
          <w:tcPr>
            <w:tcW w:w="1982" w:type="dxa"/>
          </w:tcPr>
          <w:p w14:paraId="037960A4" w14:textId="77777777" w:rsidR="00D66726" w:rsidRPr="00E50A90" w:rsidRDefault="00D66726" w:rsidP="003C4C4F">
            <w:pPr>
              <w:rPr>
                <w:b/>
                <w:bCs/>
              </w:rPr>
            </w:pPr>
            <w:r w:rsidRPr="00E50A90">
              <w:rPr>
                <w:b/>
                <w:bCs/>
              </w:rPr>
              <w:t>KEY STAKEHOLDERS</w:t>
            </w:r>
          </w:p>
        </w:tc>
      </w:tr>
      <w:tr w:rsidR="00D66726" w14:paraId="4A77707E" w14:textId="77777777" w:rsidTr="003C4C4F">
        <w:trPr>
          <w:trHeight w:val="287"/>
        </w:trPr>
        <w:tc>
          <w:tcPr>
            <w:tcW w:w="8549" w:type="dxa"/>
            <w:vAlign w:val="center"/>
          </w:tcPr>
          <w:p w14:paraId="744D8CE7" w14:textId="677FAA9A" w:rsidR="00D66726" w:rsidRPr="00D66726" w:rsidRDefault="00D66726" w:rsidP="00D66726">
            <w:r w:rsidRPr="00D66726">
              <w:t>Pupils with SEND have personalised plans that are reviewed with parents at least termly.</w:t>
            </w:r>
          </w:p>
        </w:tc>
        <w:tc>
          <w:tcPr>
            <w:tcW w:w="1769" w:type="dxa"/>
          </w:tcPr>
          <w:p w14:paraId="5E238270" w14:textId="77777777" w:rsidR="00D66726" w:rsidRDefault="00D66726" w:rsidP="00D66726"/>
        </w:tc>
        <w:tc>
          <w:tcPr>
            <w:tcW w:w="2212" w:type="dxa"/>
          </w:tcPr>
          <w:p w14:paraId="134FDABB" w14:textId="77777777" w:rsidR="00D66726" w:rsidRDefault="00D66726" w:rsidP="00D66726"/>
        </w:tc>
        <w:tc>
          <w:tcPr>
            <w:tcW w:w="1982" w:type="dxa"/>
          </w:tcPr>
          <w:p w14:paraId="7986FBD1" w14:textId="77777777" w:rsidR="00D66726" w:rsidRDefault="00D66726" w:rsidP="00D66726"/>
        </w:tc>
      </w:tr>
      <w:tr w:rsidR="00D66726" w14:paraId="436B38C4" w14:textId="77777777" w:rsidTr="003C4C4F">
        <w:trPr>
          <w:trHeight w:val="287"/>
        </w:trPr>
        <w:tc>
          <w:tcPr>
            <w:tcW w:w="8549" w:type="dxa"/>
            <w:vAlign w:val="center"/>
          </w:tcPr>
          <w:p w14:paraId="06E6028E" w14:textId="036D8CC6" w:rsidR="00D66726" w:rsidRPr="00D66726" w:rsidRDefault="00D66726" w:rsidP="00D66726">
            <w:r w:rsidRPr="00D66726">
              <w:t>Interventions follow a graduated approach cycle of Assess, Plan, Do, Review.</w:t>
            </w:r>
          </w:p>
        </w:tc>
        <w:tc>
          <w:tcPr>
            <w:tcW w:w="1769" w:type="dxa"/>
          </w:tcPr>
          <w:p w14:paraId="40FCB67C" w14:textId="77777777" w:rsidR="00D66726" w:rsidRDefault="00D66726" w:rsidP="00D66726"/>
        </w:tc>
        <w:tc>
          <w:tcPr>
            <w:tcW w:w="2212" w:type="dxa"/>
          </w:tcPr>
          <w:p w14:paraId="39F19607" w14:textId="77777777" w:rsidR="00D66726" w:rsidRDefault="00D66726" w:rsidP="00D66726"/>
        </w:tc>
        <w:tc>
          <w:tcPr>
            <w:tcW w:w="1982" w:type="dxa"/>
          </w:tcPr>
          <w:p w14:paraId="0415625D" w14:textId="77777777" w:rsidR="00D66726" w:rsidRDefault="00D66726" w:rsidP="00D66726"/>
        </w:tc>
      </w:tr>
      <w:tr w:rsidR="00D66726" w14:paraId="638527F2" w14:textId="77777777" w:rsidTr="003C4C4F">
        <w:trPr>
          <w:trHeight w:val="287"/>
        </w:trPr>
        <w:tc>
          <w:tcPr>
            <w:tcW w:w="8549" w:type="dxa"/>
            <w:vAlign w:val="center"/>
          </w:tcPr>
          <w:p w14:paraId="42046A85" w14:textId="065A6801" w:rsidR="00D66726" w:rsidRPr="00D66726" w:rsidRDefault="00D66726" w:rsidP="00D66726">
            <w:r w:rsidRPr="00D66726">
              <w:t>Interventions are closely monitored and rigorously evaluated. Adjustment to the provision is then made accordingly.</w:t>
            </w:r>
          </w:p>
        </w:tc>
        <w:tc>
          <w:tcPr>
            <w:tcW w:w="1769" w:type="dxa"/>
          </w:tcPr>
          <w:p w14:paraId="3E775984" w14:textId="77777777" w:rsidR="00D66726" w:rsidRDefault="00D66726" w:rsidP="00D66726"/>
        </w:tc>
        <w:tc>
          <w:tcPr>
            <w:tcW w:w="2212" w:type="dxa"/>
          </w:tcPr>
          <w:p w14:paraId="03B1F7B2" w14:textId="77777777" w:rsidR="00D66726" w:rsidRDefault="00D66726" w:rsidP="00D66726"/>
        </w:tc>
        <w:tc>
          <w:tcPr>
            <w:tcW w:w="1982" w:type="dxa"/>
          </w:tcPr>
          <w:p w14:paraId="5D7819DD" w14:textId="77777777" w:rsidR="00D66726" w:rsidRDefault="00D66726" w:rsidP="00D66726"/>
        </w:tc>
      </w:tr>
      <w:tr w:rsidR="00D66726" w14:paraId="680C3F40" w14:textId="77777777" w:rsidTr="003C4C4F">
        <w:trPr>
          <w:trHeight w:val="287"/>
        </w:trPr>
        <w:tc>
          <w:tcPr>
            <w:tcW w:w="8549" w:type="dxa"/>
          </w:tcPr>
          <w:p w14:paraId="6F2007AA" w14:textId="38E37821" w:rsidR="00D66726" w:rsidRPr="00D66726" w:rsidRDefault="00D66726" w:rsidP="00D66726">
            <w:r w:rsidRPr="00D66726">
              <w:t>The school has a good understanding of how pupils with SEND achieve with individual teachers and across subjects, including across the prime and specific areas of the Early Learning Goals in the Early Years.</w:t>
            </w:r>
          </w:p>
        </w:tc>
        <w:tc>
          <w:tcPr>
            <w:tcW w:w="1769" w:type="dxa"/>
          </w:tcPr>
          <w:p w14:paraId="3AD2F394" w14:textId="77777777" w:rsidR="00D66726" w:rsidRDefault="00D66726" w:rsidP="00D66726"/>
        </w:tc>
        <w:tc>
          <w:tcPr>
            <w:tcW w:w="2212" w:type="dxa"/>
          </w:tcPr>
          <w:p w14:paraId="49D7411E" w14:textId="77777777" w:rsidR="00D66726" w:rsidRDefault="00D66726" w:rsidP="00D66726"/>
        </w:tc>
        <w:tc>
          <w:tcPr>
            <w:tcW w:w="1982" w:type="dxa"/>
          </w:tcPr>
          <w:p w14:paraId="61E9F942" w14:textId="77777777" w:rsidR="00D66726" w:rsidRDefault="00D66726" w:rsidP="00D66726"/>
        </w:tc>
      </w:tr>
      <w:tr w:rsidR="00D66726" w14:paraId="1E6C23C0" w14:textId="77777777" w:rsidTr="003C4C4F">
        <w:trPr>
          <w:trHeight w:val="287"/>
        </w:trPr>
        <w:tc>
          <w:tcPr>
            <w:tcW w:w="8549" w:type="dxa"/>
          </w:tcPr>
          <w:p w14:paraId="0057684D" w14:textId="35A4443C" w:rsidR="00D66726" w:rsidRPr="00D66726" w:rsidRDefault="00D66726" w:rsidP="00D66726">
            <w:r w:rsidRPr="00D66726">
              <w:t>The SENCO uses all available data, including externally validated data, to inform the planning of interventions.</w:t>
            </w:r>
          </w:p>
        </w:tc>
        <w:tc>
          <w:tcPr>
            <w:tcW w:w="1769" w:type="dxa"/>
          </w:tcPr>
          <w:p w14:paraId="3448F8C9" w14:textId="77777777" w:rsidR="00D66726" w:rsidRDefault="00D66726" w:rsidP="00D66726"/>
        </w:tc>
        <w:tc>
          <w:tcPr>
            <w:tcW w:w="2212" w:type="dxa"/>
          </w:tcPr>
          <w:p w14:paraId="6E7D144E" w14:textId="77777777" w:rsidR="00D66726" w:rsidRDefault="00D66726" w:rsidP="00D66726"/>
        </w:tc>
        <w:tc>
          <w:tcPr>
            <w:tcW w:w="1982" w:type="dxa"/>
          </w:tcPr>
          <w:p w14:paraId="4F80E208" w14:textId="77777777" w:rsidR="00D66726" w:rsidRDefault="00D66726" w:rsidP="00D66726"/>
        </w:tc>
      </w:tr>
      <w:tr w:rsidR="002D610E" w:rsidRPr="00466DC3" w14:paraId="03CD0493" w14:textId="77777777" w:rsidTr="003C4C4F">
        <w:trPr>
          <w:trHeight w:val="287"/>
        </w:trPr>
        <w:tc>
          <w:tcPr>
            <w:tcW w:w="14512" w:type="dxa"/>
            <w:gridSpan w:val="4"/>
          </w:tcPr>
          <w:p w14:paraId="59C20880" w14:textId="0FB58674" w:rsidR="002D610E" w:rsidRPr="0026144B" w:rsidRDefault="002D610E" w:rsidP="0026144B">
            <w:pPr>
              <w:pStyle w:val="ListParagraph"/>
              <w:numPr>
                <w:ilvl w:val="0"/>
                <w:numId w:val="17"/>
              </w:numPr>
              <w:jc w:val="center"/>
              <w:rPr>
                <w:b/>
                <w:bCs/>
              </w:rPr>
            </w:pPr>
            <w:r w:rsidRPr="0026144B">
              <w:rPr>
                <w:b/>
                <w:bCs/>
                <w:sz w:val="26"/>
                <w:szCs w:val="26"/>
              </w:rPr>
              <w:lastRenderedPageBreak/>
              <w:t>THE EFFICIENT USE OF RESOURCES</w:t>
            </w:r>
          </w:p>
        </w:tc>
      </w:tr>
      <w:tr w:rsidR="002D610E" w:rsidRPr="00E50A90" w14:paraId="1EDC340D" w14:textId="77777777" w:rsidTr="003C4C4F">
        <w:trPr>
          <w:trHeight w:val="586"/>
        </w:trPr>
        <w:tc>
          <w:tcPr>
            <w:tcW w:w="8549" w:type="dxa"/>
          </w:tcPr>
          <w:p w14:paraId="6B35285B" w14:textId="77777777" w:rsidR="002D610E" w:rsidRPr="00E50A90" w:rsidRDefault="002D610E" w:rsidP="003C4C4F">
            <w:pPr>
              <w:rPr>
                <w:b/>
                <w:bCs/>
              </w:rPr>
            </w:pPr>
            <w:r w:rsidRPr="00E50A90">
              <w:rPr>
                <w:b/>
                <w:bCs/>
              </w:rPr>
              <w:t>SUGGESTED THEMES AND AREAS TO EXPLORE</w:t>
            </w:r>
          </w:p>
        </w:tc>
        <w:tc>
          <w:tcPr>
            <w:tcW w:w="1769" w:type="dxa"/>
          </w:tcPr>
          <w:p w14:paraId="715A2AA9" w14:textId="77777777" w:rsidR="002D610E" w:rsidRPr="00E50A90" w:rsidRDefault="002D610E" w:rsidP="003C4C4F">
            <w:pPr>
              <w:rPr>
                <w:b/>
                <w:bCs/>
              </w:rPr>
            </w:pPr>
            <w:r w:rsidRPr="00E50A90">
              <w:rPr>
                <w:b/>
                <w:bCs/>
              </w:rPr>
              <w:t>STRENGTHS</w:t>
            </w:r>
          </w:p>
        </w:tc>
        <w:tc>
          <w:tcPr>
            <w:tcW w:w="2212" w:type="dxa"/>
          </w:tcPr>
          <w:p w14:paraId="2B237C1F" w14:textId="77777777" w:rsidR="002D610E" w:rsidRPr="00E50A90" w:rsidRDefault="002D610E" w:rsidP="003C4C4F">
            <w:pPr>
              <w:rPr>
                <w:b/>
                <w:bCs/>
              </w:rPr>
            </w:pPr>
            <w:r w:rsidRPr="00E50A90">
              <w:rPr>
                <w:b/>
                <w:bCs/>
              </w:rPr>
              <w:t>AREAS FOR DEVELOPMENT</w:t>
            </w:r>
          </w:p>
        </w:tc>
        <w:tc>
          <w:tcPr>
            <w:tcW w:w="1982" w:type="dxa"/>
          </w:tcPr>
          <w:p w14:paraId="0B5D8C4E" w14:textId="77777777" w:rsidR="002D610E" w:rsidRPr="00E50A90" w:rsidRDefault="002D610E" w:rsidP="003C4C4F">
            <w:pPr>
              <w:rPr>
                <w:b/>
                <w:bCs/>
              </w:rPr>
            </w:pPr>
            <w:r w:rsidRPr="00E50A90">
              <w:rPr>
                <w:b/>
                <w:bCs/>
              </w:rPr>
              <w:t>KEY STAKEHOLDERS</w:t>
            </w:r>
          </w:p>
        </w:tc>
      </w:tr>
      <w:tr w:rsidR="002D610E" w14:paraId="78808C77" w14:textId="77777777" w:rsidTr="003C4C4F">
        <w:trPr>
          <w:trHeight w:val="287"/>
        </w:trPr>
        <w:tc>
          <w:tcPr>
            <w:tcW w:w="8549" w:type="dxa"/>
            <w:vAlign w:val="center"/>
          </w:tcPr>
          <w:p w14:paraId="00C5948B" w14:textId="234AA507" w:rsidR="002D610E" w:rsidRPr="002D610E" w:rsidRDefault="002D610E" w:rsidP="002D610E">
            <w:r w:rsidRPr="002D610E">
              <w:t>SEND has a high profile in whole school staff Continued Professional Development and Learning.</w:t>
            </w:r>
          </w:p>
        </w:tc>
        <w:tc>
          <w:tcPr>
            <w:tcW w:w="1769" w:type="dxa"/>
          </w:tcPr>
          <w:p w14:paraId="36E0465A" w14:textId="77777777" w:rsidR="002D610E" w:rsidRDefault="002D610E" w:rsidP="002D610E"/>
        </w:tc>
        <w:tc>
          <w:tcPr>
            <w:tcW w:w="2212" w:type="dxa"/>
          </w:tcPr>
          <w:p w14:paraId="54F7CAD4" w14:textId="77777777" w:rsidR="002D610E" w:rsidRDefault="002D610E" w:rsidP="002D610E"/>
        </w:tc>
        <w:tc>
          <w:tcPr>
            <w:tcW w:w="1982" w:type="dxa"/>
          </w:tcPr>
          <w:p w14:paraId="412D0E0B" w14:textId="77777777" w:rsidR="002D610E" w:rsidRDefault="002D610E" w:rsidP="002D610E"/>
        </w:tc>
      </w:tr>
      <w:tr w:rsidR="002D610E" w14:paraId="33DC0432" w14:textId="77777777" w:rsidTr="003C4C4F">
        <w:trPr>
          <w:trHeight w:val="287"/>
        </w:trPr>
        <w:tc>
          <w:tcPr>
            <w:tcW w:w="8549" w:type="dxa"/>
          </w:tcPr>
          <w:p w14:paraId="6487E211" w14:textId="0DB195F5" w:rsidR="002D610E" w:rsidRPr="002D610E" w:rsidRDefault="002D610E" w:rsidP="002D610E">
            <w:r w:rsidRPr="002D610E">
              <w:t>Staff engage in high-quality Continued Professional Development and Learning to support improved pupil outcomes. This is aligned to the recommendations within the Standard for</w:t>
            </w:r>
            <w:r w:rsidR="00EB1322">
              <w:t xml:space="preserve"> </w:t>
            </w:r>
            <w:r w:rsidR="00EB1322" w:rsidRPr="002D610E">
              <w:t>Teachers’ Professional Development.</w:t>
            </w:r>
          </w:p>
        </w:tc>
        <w:tc>
          <w:tcPr>
            <w:tcW w:w="1769" w:type="dxa"/>
          </w:tcPr>
          <w:p w14:paraId="4BF88329" w14:textId="77777777" w:rsidR="002D610E" w:rsidRDefault="002D610E" w:rsidP="002D610E"/>
        </w:tc>
        <w:tc>
          <w:tcPr>
            <w:tcW w:w="2212" w:type="dxa"/>
          </w:tcPr>
          <w:p w14:paraId="17CCA5B2" w14:textId="77777777" w:rsidR="002D610E" w:rsidRDefault="002D610E" w:rsidP="002D610E"/>
        </w:tc>
        <w:tc>
          <w:tcPr>
            <w:tcW w:w="1982" w:type="dxa"/>
          </w:tcPr>
          <w:p w14:paraId="20FD636D" w14:textId="77777777" w:rsidR="002D610E" w:rsidRDefault="002D610E" w:rsidP="002D610E"/>
        </w:tc>
      </w:tr>
      <w:tr w:rsidR="002D610E" w14:paraId="2004165D" w14:textId="77777777" w:rsidTr="003C4C4F">
        <w:trPr>
          <w:trHeight w:val="287"/>
        </w:trPr>
        <w:tc>
          <w:tcPr>
            <w:tcW w:w="8549" w:type="dxa"/>
          </w:tcPr>
          <w:p w14:paraId="1656077B" w14:textId="57DAA382" w:rsidR="002D610E" w:rsidRPr="002D610E" w:rsidRDefault="002D610E" w:rsidP="002D610E">
            <w:r w:rsidRPr="002D610E">
              <w:t>Teaching assistants receive professional reviews. Teaching assistants and support staff receive regular and high-quality Continued Professional Development and learning. This is linked to the school development plan and wider aims regarding pupil achievement and outcomes.</w:t>
            </w:r>
          </w:p>
        </w:tc>
        <w:tc>
          <w:tcPr>
            <w:tcW w:w="1769" w:type="dxa"/>
          </w:tcPr>
          <w:p w14:paraId="7D69C535" w14:textId="77777777" w:rsidR="002D610E" w:rsidRDefault="002D610E" w:rsidP="002D610E"/>
        </w:tc>
        <w:tc>
          <w:tcPr>
            <w:tcW w:w="2212" w:type="dxa"/>
          </w:tcPr>
          <w:p w14:paraId="5DBF860D" w14:textId="77777777" w:rsidR="002D610E" w:rsidRDefault="002D610E" w:rsidP="002D610E"/>
        </w:tc>
        <w:tc>
          <w:tcPr>
            <w:tcW w:w="1982" w:type="dxa"/>
          </w:tcPr>
          <w:p w14:paraId="17868E0C" w14:textId="77777777" w:rsidR="002D610E" w:rsidRDefault="002D610E" w:rsidP="002D610E"/>
        </w:tc>
      </w:tr>
      <w:tr w:rsidR="002D610E" w14:paraId="5D9970AD" w14:textId="77777777" w:rsidTr="003C4C4F">
        <w:trPr>
          <w:trHeight w:val="287"/>
        </w:trPr>
        <w:tc>
          <w:tcPr>
            <w:tcW w:w="8549" w:type="dxa"/>
          </w:tcPr>
          <w:p w14:paraId="49FCB51E" w14:textId="62848D77" w:rsidR="002D610E" w:rsidRPr="002D610E" w:rsidRDefault="002D610E" w:rsidP="002D610E">
            <w:r w:rsidRPr="002D610E">
              <w:t>Deployment decisions in relation to teaching assistants and support staff are evidence informed, routinely reviewed and evaluated for impact.</w:t>
            </w:r>
          </w:p>
        </w:tc>
        <w:tc>
          <w:tcPr>
            <w:tcW w:w="1769" w:type="dxa"/>
          </w:tcPr>
          <w:p w14:paraId="7EBD0C9F" w14:textId="77777777" w:rsidR="002D610E" w:rsidRDefault="002D610E" w:rsidP="002D610E"/>
        </w:tc>
        <w:tc>
          <w:tcPr>
            <w:tcW w:w="2212" w:type="dxa"/>
          </w:tcPr>
          <w:p w14:paraId="359A2FF7" w14:textId="77777777" w:rsidR="002D610E" w:rsidRDefault="002D610E" w:rsidP="002D610E"/>
        </w:tc>
        <w:tc>
          <w:tcPr>
            <w:tcW w:w="1982" w:type="dxa"/>
          </w:tcPr>
          <w:p w14:paraId="772EE879" w14:textId="77777777" w:rsidR="002D610E" w:rsidRDefault="002D610E" w:rsidP="002D610E"/>
        </w:tc>
      </w:tr>
      <w:tr w:rsidR="002D610E" w14:paraId="51D79936" w14:textId="77777777" w:rsidTr="003C4C4F">
        <w:trPr>
          <w:trHeight w:val="287"/>
        </w:trPr>
        <w:tc>
          <w:tcPr>
            <w:tcW w:w="8549" w:type="dxa"/>
          </w:tcPr>
          <w:p w14:paraId="2E368980" w14:textId="571D9AC3" w:rsidR="002D610E" w:rsidRPr="002D610E" w:rsidRDefault="002D610E" w:rsidP="002D610E">
            <w:r w:rsidRPr="002D610E">
              <w:t>There is a graduated approach to interventions. Class, group and individual support is balanced appropriately.</w:t>
            </w:r>
          </w:p>
        </w:tc>
        <w:tc>
          <w:tcPr>
            <w:tcW w:w="1769" w:type="dxa"/>
          </w:tcPr>
          <w:p w14:paraId="7D45CE62" w14:textId="77777777" w:rsidR="002D610E" w:rsidRDefault="002D610E" w:rsidP="002D610E"/>
        </w:tc>
        <w:tc>
          <w:tcPr>
            <w:tcW w:w="2212" w:type="dxa"/>
          </w:tcPr>
          <w:p w14:paraId="7A0B9277" w14:textId="77777777" w:rsidR="002D610E" w:rsidRDefault="002D610E" w:rsidP="002D610E"/>
        </w:tc>
        <w:tc>
          <w:tcPr>
            <w:tcW w:w="1982" w:type="dxa"/>
          </w:tcPr>
          <w:p w14:paraId="28FECBA7" w14:textId="77777777" w:rsidR="002D610E" w:rsidRDefault="002D610E" w:rsidP="002D610E"/>
        </w:tc>
      </w:tr>
      <w:tr w:rsidR="002D610E" w14:paraId="60D2E8A4" w14:textId="77777777" w:rsidTr="003C4C4F">
        <w:trPr>
          <w:trHeight w:val="287"/>
        </w:trPr>
        <w:tc>
          <w:tcPr>
            <w:tcW w:w="8549" w:type="dxa"/>
          </w:tcPr>
          <w:p w14:paraId="6F362EF7" w14:textId="1633B87E" w:rsidR="002D610E" w:rsidRPr="002D610E" w:rsidRDefault="002D610E" w:rsidP="002D610E">
            <w:r w:rsidRPr="002D610E">
              <w:t>Interventions are evidence informed and coordinated effectively to ensure a cycle of review measures the priority being addressed.</w:t>
            </w:r>
          </w:p>
        </w:tc>
        <w:tc>
          <w:tcPr>
            <w:tcW w:w="1769" w:type="dxa"/>
          </w:tcPr>
          <w:p w14:paraId="0CB4A388" w14:textId="77777777" w:rsidR="002D610E" w:rsidRDefault="002D610E" w:rsidP="002D610E"/>
        </w:tc>
        <w:tc>
          <w:tcPr>
            <w:tcW w:w="2212" w:type="dxa"/>
          </w:tcPr>
          <w:p w14:paraId="08F25E2B" w14:textId="77777777" w:rsidR="002D610E" w:rsidRDefault="002D610E" w:rsidP="002D610E"/>
        </w:tc>
        <w:tc>
          <w:tcPr>
            <w:tcW w:w="1982" w:type="dxa"/>
          </w:tcPr>
          <w:p w14:paraId="55134F38" w14:textId="77777777" w:rsidR="002D610E" w:rsidRDefault="002D610E" w:rsidP="002D610E"/>
        </w:tc>
      </w:tr>
      <w:tr w:rsidR="002D610E" w14:paraId="02AF0559" w14:textId="77777777" w:rsidTr="003C4C4F">
        <w:trPr>
          <w:trHeight w:val="287"/>
        </w:trPr>
        <w:tc>
          <w:tcPr>
            <w:tcW w:w="8549" w:type="dxa"/>
            <w:vAlign w:val="center"/>
          </w:tcPr>
          <w:p w14:paraId="76903439" w14:textId="0F6CE633" w:rsidR="002D610E" w:rsidRPr="002D610E" w:rsidRDefault="002D610E" w:rsidP="002D610E">
            <w:r w:rsidRPr="002D610E">
              <w:t>Interventions and support resources are coordinated and deployed effectively and strategically.</w:t>
            </w:r>
          </w:p>
        </w:tc>
        <w:tc>
          <w:tcPr>
            <w:tcW w:w="1769" w:type="dxa"/>
          </w:tcPr>
          <w:p w14:paraId="15307608" w14:textId="77777777" w:rsidR="002D610E" w:rsidRDefault="002D610E" w:rsidP="002D610E"/>
        </w:tc>
        <w:tc>
          <w:tcPr>
            <w:tcW w:w="2212" w:type="dxa"/>
          </w:tcPr>
          <w:p w14:paraId="7F2CC62D" w14:textId="77777777" w:rsidR="002D610E" w:rsidRDefault="002D610E" w:rsidP="002D610E"/>
        </w:tc>
        <w:tc>
          <w:tcPr>
            <w:tcW w:w="1982" w:type="dxa"/>
          </w:tcPr>
          <w:p w14:paraId="73BBB22B" w14:textId="77777777" w:rsidR="002D610E" w:rsidRDefault="002D610E" w:rsidP="002D610E"/>
        </w:tc>
      </w:tr>
      <w:tr w:rsidR="002D610E" w14:paraId="3FA2DB68" w14:textId="77777777" w:rsidTr="003C4C4F">
        <w:trPr>
          <w:trHeight w:val="287"/>
        </w:trPr>
        <w:tc>
          <w:tcPr>
            <w:tcW w:w="8549" w:type="dxa"/>
            <w:vAlign w:val="center"/>
          </w:tcPr>
          <w:p w14:paraId="4EC072AB" w14:textId="65C7F39B" w:rsidR="002D610E" w:rsidRPr="002D610E" w:rsidRDefault="002D610E" w:rsidP="002D610E">
            <w:r w:rsidRPr="002D610E">
              <w:t>Systems are in place to support this process, for example, through the use of a provision map.</w:t>
            </w:r>
          </w:p>
        </w:tc>
        <w:tc>
          <w:tcPr>
            <w:tcW w:w="1769" w:type="dxa"/>
          </w:tcPr>
          <w:p w14:paraId="47FBF438" w14:textId="77777777" w:rsidR="002D610E" w:rsidRDefault="002D610E" w:rsidP="002D610E"/>
        </w:tc>
        <w:tc>
          <w:tcPr>
            <w:tcW w:w="2212" w:type="dxa"/>
          </w:tcPr>
          <w:p w14:paraId="27D4E9FA" w14:textId="77777777" w:rsidR="002D610E" w:rsidRDefault="002D610E" w:rsidP="002D610E"/>
        </w:tc>
        <w:tc>
          <w:tcPr>
            <w:tcW w:w="1982" w:type="dxa"/>
          </w:tcPr>
          <w:p w14:paraId="2E20E94C" w14:textId="77777777" w:rsidR="002D610E" w:rsidRDefault="002D610E" w:rsidP="002D610E"/>
        </w:tc>
      </w:tr>
      <w:tr w:rsidR="002D610E" w14:paraId="5B24B65F" w14:textId="77777777" w:rsidTr="003C4C4F">
        <w:trPr>
          <w:trHeight w:val="287"/>
        </w:trPr>
        <w:tc>
          <w:tcPr>
            <w:tcW w:w="8549" w:type="dxa"/>
            <w:vAlign w:val="center"/>
          </w:tcPr>
          <w:p w14:paraId="52D906F5" w14:textId="2A75364D" w:rsidR="002D610E" w:rsidRPr="002D610E" w:rsidRDefault="002D610E" w:rsidP="002D610E">
            <w:r w:rsidRPr="002D610E">
              <w:t>Highly effective administrative support allows staff with responsibility for SEND to work strategically.</w:t>
            </w:r>
          </w:p>
        </w:tc>
        <w:tc>
          <w:tcPr>
            <w:tcW w:w="1769" w:type="dxa"/>
          </w:tcPr>
          <w:p w14:paraId="6AECBF24" w14:textId="77777777" w:rsidR="002D610E" w:rsidRDefault="002D610E" w:rsidP="002D610E"/>
        </w:tc>
        <w:tc>
          <w:tcPr>
            <w:tcW w:w="2212" w:type="dxa"/>
          </w:tcPr>
          <w:p w14:paraId="176DB5A0" w14:textId="77777777" w:rsidR="002D610E" w:rsidRDefault="002D610E" w:rsidP="002D610E"/>
        </w:tc>
        <w:tc>
          <w:tcPr>
            <w:tcW w:w="1982" w:type="dxa"/>
          </w:tcPr>
          <w:p w14:paraId="66DD842E" w14:textId="77777777" w:rsidR="002D610E" w:rsidRDefault="002D610E" w:rsidP="002D610E"/>
        </w:tc>
      </w:tr>
    </w:tbl>
    <w:p w14:paraId="7F211F5A" w14:textId="360EDCE4" w:rsidR="002D610E" w:rsidRDefault="002D610E" w:rsidP="00287051"/>
    <w:p w14:paraId="733CF2C3" w14:textId="043A1E2D" w:rsidR="002D610E" w:rsidRDefault="002D610E" w:rsidP="00287051"/>
    <w:p w14:paraId="42EDF96B" w14:textId="1C978846" w:rsidR="0026144B" w:rsidRDefault="0026144B">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7C539408" w14:textId="77777777" w:rsidR="002D610E" w:rsidRDefault="002D610E" w:rsidP="002D610E">
      <w:pPr>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2D610E" w:rsidRPr="00466DC3" w14:paraId="40B20BE1" w14:textId="77777777" w:rsidTr="003C4C4F">
        <w:trPr>
          <w:trHeight w:val="287"/>
        </w:trPr>
        <w:tc>
          <w:tcPr>
            <w:tcW w:w="14512" w:type="dxa"/>
            <w:gridSpan w:val="4"/>
          </w:tcPr>
          <w:p w14:paraId="3E86492D" w14:textId="62296618" w:rsidR="002D610E" w:rsidRPr="0026144B" w:rsidRDefault="002D610E" w:rsidP="0026144B">
            <w:pPr>
              <w:pStyle w:val="ListParagraph"/>
              <w:numPr>
                <w:ilvl w:val="0"/>
                <w:numId w:val="17"/>
              </w:numPr>
              <w:jc w:val="center"/>
              <w:rPr>
                <w:b/>
                <w:bCs/>
              </w:rPr>
            </w:pPr>
            <w:r w:rsidRPr="0026144B">
              <w:rPr>
                <w:b/>
                <w:bCs/>
                <w:sz w:val="26"/>
                <w:szCs w:val="26"/>
              </w:rPr>
              <w:t>THE QUALITY OF SEND PROVISION</w:t>
            </w:r>
          </w:p>
        </w:tc>
      </w:tr>
      <w:tr w:rsidR="002D610E" w:rsidRPr="00E50A90" w14:paraId="4209DB0E" w14:textId="77777777" w:rsidTr="003C4C4F">
        <w:trPr>
          <w:trHeight w:val="586"/>
        </w:trPr>
        <w:tc>
          <w:tcPr>
            <w:tcW w:w="8549" w:type="dxa"/>
          </w:tcPr>
          <w:p w14:paraId="097E89FD" w14:textId="77777777" w:rsidR="002D610E" w:rsidRPr="00E50A90" w:rsidRDefault="002D610E" w:rsidP="003C4C4F">
            <w:pPr>
              <w:rPr>
                <w:b/>
                <w:bCs/>
              </w:rPr>
            </w:pPr>
            <w:r w:rsidRPr="00E50A90">
              <w:rPr>
                <w:b/>
                <w:bCs/>
              </w:rPr>
              <w:t>SUGGESTED THEMES AND AREAS TO EXPLORE</w:t>
            </w:r>
          </w:p>
        </w:tc>
        <w:tc>
          <w:tcPr>
            <w:tcW w:w="1769" w:type="dxa"/>
          </w:tcPr>
          <w:p w14:paraId="56805AD1" w14:textId="77777777" w:rsidR="002D610E" w:rsidRPr="00E50A90" w:rsidRDefault="002D610E" w:rsidP="003C4C4F">
            <w:pPr>
              <w:rPr>
                <w:b/>
                <w:bCs/>
              </w:rPr>
            </w:pPr>
            <w:r w:rsidRPr="00E50A90">
              <w:rPr>
                <w:b/>
                <w:bCs/>
              </w:rPr>
              <w:t>STRENGTHS</w:t>
            </w:r>
          </w:p>
        </w:tc>
        <w:tc>
          <w:tcPr>
            <w:tcW w:w="2212" w:type="dxa"/>
          </w:tcPr>
          <w:p w14:paraId="1528EEB4" w14:textId="77777777" w:rsidR="002D610E" w:rsidRPr="00E50A90" w:rsidRDefault="002D610E" w:rsidP="003C4C4F">
            <w:pPr>
              <w:rPr>
                <w:b/>
                <w:bCs/>
              </w:rPr>
            </w:pPr>
            <w:r w:rsidRPr="00E50A90">
              <w:rPr>
                <w:b/>
                <w:bCs/>
              </w:rPr>
              <w:t>AREAS FOR DEVELOPMENT</w:t>
            </w:r>
          </w:p>
        </w:tc>
        <w:tc>
          <w:tcPr>
            <w:tcW w:w="1982" w:type="dxa"/>
          </w:tcPr>
          <w:p w14:paraId="5E5A1CA5" w14:textId="77777777" w:rsidR="002D610E" w:rsidRPr="00E50A90" w:rsidRDefault="002D610E" w:rsidP="003C4C4F">
            <w:pPr>
              <w:rPr>
                <w:b/>
                <w:bCs/>
              </w:rPr>
            </w:pPr>
            <w:r w:rsidRPr="00E50A90">
              <w:rPr>
                <w:b/>
                <w:bCs/>
              </w:rPr>
              <w:t>KEY STAKEHOLDERS</w:t>
            </w:r>
          </w:p>
        </w:tc>
      </w:tr>
      <w:tr w:rsidR="002D610E" w14:paraId="3C90831B" w14:textId="77777777" w:rsidTr="003C4C4F">
        <w:trPr>
          <w:trHeight w:val="287"/>
        </w:trPr>
        <w:tc>
          <w:tcPr>
            <w:tcW w:w="8549" w:type="dxa"/>
          </w:tcPr>
          <w:p w14:paraId="0F257E42" w14:textId="0ABDBE23" w:rsidR="002D610E" w:rsidRPr="002D610E" w:rsidRDefault="002D610E" w:rsidP="002D610E">
            <w:r w:rsidRPr="002D610E">
              <w:t xml:space="preserve">The school is appropriately staffed and resourced in order to ensure high-quality provision and that pupils with SEND have their statutory needs met. The early years is appropriately staffed and resourced </w:t>
            </w:r>
            <w:proofErr w:type="gramStart"/>
            <w:r w:rsidRPr="002D610E">
              <w:t>in order to</w:t>
            </w:r>
            <w:proofErr w:type="gramEnd"/>
            <w:r w:rsidRPr="002D610E">
              <w:t xml:space="preserve"> ensure effective early intervention, high-quality provision and engagement with parents for children with SEND.</w:t>
            </w:r>
          </w:p>
        </w:tc>
        <w:tc>
          <w:tcPr>
            <w:tcW w:w="1769" w:type="dxa"/>
          </w:tcPr>
          <w:p w14:paraId="2C69591C" w14:textId="77777777" w:rsidR="002D610E" w:rsidRDefault="002D610E" w:rsidP="002D610E"/>
        </w:tc>
        <w:tc>
          <w:tcPr>
            <w:tcW w:w="2212" w:type="dxa"/>
          </w:tcPr>
          <w:p w14:paraId="608C4450" w14:textId="77777777" w:rsidR="002D610E" w:rsidRDefault="002D610E" w:rsidP="002D610E"/>
        </w:tc>
        <w:tc>
          <w:tcPr>
            <w:tcW w:w="1982" w:type="dxa"/>
          </w:tcPr>
          <w:p w14:paraId="0025934C" w14:textId="77777777" w:rsidR="002D610E" w:rsidRDefault="002D610E" w:rsidP="002D610E"/>
        </w:tc>
      </w:tr>
      <w:tr w:rsidR="002D610E" w14:paraId="006D7622" w14:textId="77777777" w:rsidTr="003C4C4F">
        <w:trPr>
          <w:trHeight w:val="287"/>
        </w:trPr>
        <w:tc>
          <w:tcPr>
            <w:tcW w:w="8549" w:type="dxa"/>
            <w:vAlign w:val="center"/>
          </w:tcPr>
          <w:p w14:paraId="10B6CAD7" w14:textId="0259A111" w:rsidR="002D610E" w:rsidRPr="002D610E" w:rsidRDefault="002D610E" w:rsidP="002D610E">
            <w:r w:rsidRPr="002D610E">
              <w:t>Outside agency support is engaged appropriately and utilised effectively.</w:t>
            </w:r>
          </w:p>
        </w:tc>
        <w:tc>
          <w:tcPr>
            <w:tcW w:w="1769" w:type="dxa"/>
          </w:tcPr>
          <w:p w14:paraId="4F9058E5" w14:textId="77777777" w:rsidR="002D610E" w:rsidRDefault="002D610E" w:rsidP="002D610E"/>
        </w:tc>
        <w:tc>
          <w:tcPr>
            <w:tcW w:w="2212" w:type="dxa"/>
          </w:tcPr>
          <w:p w14:paraId="6FAF2B45" w14:textId="77777777" w:rsidR="002D610E" w:rsidRDefault="002D610E" w:rsidP="002D610E"/>
        </w:tc>
        <w:tc>
          <w:tcPr>
            <w:tcW w:w="1982" w:type="dxa"/>
          </w:tcPr>
          <w:p w14:paraId="2E1BED5B" w14:textId="77777777" w:rsidR="002D610E" w:rsidRDefault="002D610E" w:rsidP="002D610E"/>
        </w:tc>
      </w:tr>
      <w:tr w:rsidR="002D610E" w14:paraId="71F1CDEC" w14:textId="77777777" w:rsidTr="003C4C4F">
        <w:trPr>
          <w:trHeight w:val="287"/>
        </w:trPr>
        <w:tc>
          <w:tcPr>
            <w:tcW w:w="8549" w:type="dxa"/>
          </w:tcPr>
          <w:p w14:paraId="416599DA" w14:textId="6475C21B" w:rsidR="002D610E" w:rsidRPr="002D610E" w:rsidRDefault="002D610E" w:rsidP="002D610E">
            <w:r w:rsidRPr="002D610E">
              <w:t>The school has developed an effective holistic approach to SEND and provision is responsive to the needs, development and wellbeing of all pupils.</w:t>
            </w:r>
          </w:p>
        </w:tc>
        <w:tc>
          <w:tcPr>
            <w:tcW w:w="1769" w:type="dxa"/>
          </w:tcPr>
          <w:p w14:paraId="71CC28DE" w14:textId="77777777" w:rsidR="002D610E" w:rsidRDefault="002D610E" w:rsidP="002D610E"/>
        </w:tc>
        <w:tc>
          <w:tcPr>
            <w:tcW w:w="2212" w:type="dxa"/>
          </w:tcPr>
          <w:p w14:paraId="4048C356" w14:textId="77777777" w:rsidR="002D610E" w:rsidRDefault="002D610E" w:rsidP="002D610E"/>
        </w:tc>
        <w:tc>
          <w:tcPr>
            <w:tcW w:w="1982" w:type="dxa"/>
          </w:tcPr>
          <w:p w14:paraId="427A894B" w14:textId="77777777" w:rsidR="002D610E" w:rsidRDefault="002D610E" w:rsidP="002D610E"/>
        </w:tc>
      </w:tr>
      <w:tr w:rsidR="002D610E" w14:paraId="2E25E7C8" w14:textId="77777777" w:rsidTr="003C4C4F">
        <w:trPr>
          <w:trHeight w:val="287"/>
        </w:trPr>
        <w:tc>
          <w:tcPr>
            <w:tcW w:w="8549" w:type="dxa"/>
          </w:tcPr>
          <w:p w14:paraId="57007793" w14:textId="7F39A451" w:rsidR="002D610E" w:rsidRPr="002D610E" w:rsidRDefault="002D610E" w:rsidP="002D610E">
            <w:r w:rsidRPr="002D610E">
              <w:t>The school has a high degree of expertise in SEND which is resulting in widespread and consistent positive impacts for pupils with SEND. The school is aware of its strengths and areas for developing further.</w:t>
            </w:r>
          </w:p>
        </w:tc>
        <w:tc>
          <w:tcPr>
            <w:tcW w:w="1769" w:type="dxa"/>
          </w:tcPr>
          <w:p w14:paraId="47F815F2" w14:textId="77777777" w:rsidR="002D610E" w:rsidRDefault="002D610E" w:rsidP="002D610E"/>
        </w:tc>
        <w:tc>
          <w:tcPr>
            <w:tcW w:w="2212" w:type="dxa"/>
          </w:tcPr>
          <w:p w14:paraId="136ED310" w14:textId="77777777" w:rsidR="002D610E" w:rsidRDefault="002D610E" w:rsidP="002D610E"/>
        </w:tc>
        <w:tc>
          <w:tcPr>
            <w:tcW w:w="1982" w:type="dxa"/>
          </w:tcPr>
          <w:p w14:paraId="1DA3C0BD" w14:textId="77777777" w:rsidR="002D610E" w:rsidRDefault="002D610E" w:rsidP="002D610E"/>
        </w:tc>
      </w:tr>
      <w:tr w:rsidR="002D610E" w14:paraId="36F7C39C" w14:textId="77777777" w:rsidTr="003C4C4F">
        <w:trPr>
          <w:trHeight w:val="287"/>
        </w:trPr>
        <w:tc>
          <w:tcPr>
            <w:tcW w:w="8549" w:type="dxa"/>
            <w:vAlign w:val="center"/>
          </w:tcPr>
          <w:p w14:paraId="18B2372A" w14:textId="5A180AEA" w:rsidR="002D610E" w:rsidRPr="002D610E" w:rsidRDefault="002D610E" w:rsidP="002D610E">
            <w:r w:rsidRPr="002D610E">
              <w:t>The school is outward facing and engages critically with developments in practice.</w:t>
            </w:r>
          </w:p>
        </w:tc>
        <w:tc>
          <w:tcPr>
            <w:tcW w:w="1769" w:type="dxa"/>
          </w:tcPr>
          <w:p w14:paraId="07FB0846" w14:textId="77777777" w:rsidR="002D610E" w:rsidRDefault="002D610E" w:rsidP="002D610E"/>
        </w:tc>
        <w:tc>
          <w:tcPr>
            <w:tcW w:w="2212" w:type="dxa"/>
          </w:tcPr>
          <w:p w14:paraId="447919E1" w14:textId="77777777" w:rsidR="002D610E" w:rsidRDefault="002D610E" w:rsidP="002D610E"/>
        </w:tc>
        <w:tc>
          <w:tcPr>
            <w:tcW w:w="1982" w:type="dxa"/>
          </w:tcPr>
          <w:p w14:paraId="74E2AC45" w14:textId="77777777" w:rsidR="002D610E" w:rsidRDefault="002D610E" w:rsidP="002D610E"/>
        </w:tc>
      </w:tr>
    </w:tbl>
    <w:p w14:paraId="44A45739" w14:textId="7D226483" w:rsidR="002D610E" w:rsidRDefault="002D610E" w:rsidP="00287051"/>
    <w:p w14:paraId="2B76EA41" w14:textId="0C05926A" w:rsidR="005B1AAF" w:rsidRDefault="005B1AAF" w:rsidP="00287051"/>
    <w:p w14:paraId="4CCE94F8" w14:textId="2C35CB3B" w:rsidR="005B1AAF" w:rsidRDefault="005B1AAF" w:rsidP="00287051"/>
    <w:p w14:paraId="26C267CF" w14:textId="0B152DB8" w:rsidR="005B1AAF" w:rsidRDefault="005B1AAF" w:rsidP="00287051"/>
    <w:p w14:paraId="1D9F31B4" w14:textId="62A638B7" w:rsidR="008A1129" w:rsidRPr="00C27EC2" w:rsidRDefault="008A1129" w:rsidP="006974B0">
      <w:pPr>
        <w:spacing w:before="152" w:line="285" w:lineRule="exact"/>
        <w:textAlignment w:val="baseline"/>
      </w:pPr>
    </w:p>
    <w:sectPr w:rsidR="008A1129" w:rsidRPr="00C27EC2" w:rsidSect="00C87C98">
      <w:footerReference w:type="default" r:id="rId11"/>
      <w:type w:val="continuous"/>
      <w:pgSz w:w="16838" w:h="11906"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7874" w14:textId="77777777" w:rsidR="00ED7322" w:rsidRDefault="00ED7322" w:rsidP="00F06BE7">
      <w:pPr>
        <w:spacing w:after="0" w:line="240" w:lineRule="auto"/>
      </w:pPr>
      <w:r>
        <w:separator/>
      </w:r>
    </w:p>
  </w:endnote>
  <w:endnote w:type="continuationSeparator" w:id="0">
    <w:p w14:paraId="1AE52984" w14:textId="77777777" w:rsidR="00ED7322" w:rsidRDefault="00ED7322"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98687"/>
      <w:docPartObj>
        <w:docPartGallery w:val="Page Numbers (Bottom of Page)"/>
        <w:docPartUnique/>
      </w:docPartObj>
    </w:sdtPr>
    <w:sdtEndPr>
      <w:rPr>
        <w:noProof/>
      </w:rPr>
    </w:sdtEndPr>
    <w:sdtContent>
      <w:p w14:paraId="21B9AAE1" w14:textId="22C90D3E" w:rsidR="00424E84" w:rsidRDefault="00424E84">
        <w:pPr>
          <w:pStyle w:val="Footer"/>
          <w:jc w:val="right"/>
        </w:pPr>
        <w:r>
          <w:fldChar w:fldCharType="begin"/>
        </w:r>
        <w:r>
          <w:instrText xml:space="preserve"> PAGE   \* MERGEFORMAT </w:instrText>
        </w:r>
        <w:r>
          <w:fldChar w:fldCharType="separate"/>
        </w:r>
        <w:r w:rsidR="0026144B">
          <w:rPr>
            <w:noProof/>
          </w:rPr>
          <w:t>1</w:t>
        </w:r>
        <w:r>
          <w:rPr>
            <w:noProof/>
          </w:rPr>
          <w:fldChar w:fldCharType="end"/>
        </w:r>
      </w:p>
    </w:sdtContent>
  </w:sdt>
  <w:p w14:paraId="4C8F84B6" w14:textId="77777777" w:rsidR="00424E84" w:rsidRDefault="0042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C5AD" w14:textId="77777777" w:rsidR="00ED7322" w:rsidRDefault="00ED7322" w:rsidP="00F06BE7">
      <w:pPr>
        <w:spacing w:after="0" w:line="240" w:lineRule="auto"/>
      </w:pPr>
      <w:r>
        <w:separator/>
      </w:r>
    </w:p>
  </w:footnote>
  <w:footnote w:type="continuationSeparator" w:id="0">
    <w:p w14:paraId="3D957157" w14:textId="77777777" w:rsidR="00ED7322" w:rsidRDefault="00ED7322"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21228"/>
    <w:multiLevelType w:val="hybridMultilevel"/>
    <w:tmpl w:val="F1527ED8"/>
    <w:lvl w:ilvl="0" w:tplc="1FDEE266">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6738194">
    <w:abstractNumId w:val="16"/>
  </w:num>
  <w:num w:numId="2" w16cid:durableId="555245006">
    <w:abstractNumId w:val="13"/>
  </w:num>
  <w:num w:numId="3" w16cid:durableId="1516573685">
    <w:abstractNumId w:val="8"/>
  </w:num>
  <w:num w:numId="4" w16cid:durableId="1974019234">
    <w:abstractNumId w:val="14"/>
  </w:num>
  <w:num w:numId="5" w16cid:durableId="89012088">
    <w:abstractNumId w:val="11"/>
  </w:num>
  <w:num w:numId="6" w16cid:durableId="316962813">
    <w:abstractNumId w:val="4"/>
  </w:num>
  <w:num w:numId="7" w16cid:durableId="8918498">
    <w:abstractNumId w:val="1"/>
  </w:num>
  <w:num w:numId="8" w16cid:durableId="89548170">
    <w:abstractNumId w:val="3"/>
  </w:num>
  <w:num w:numId="9" w16cid:durableId="387917827">
    <w:abstractNumId w:val="6"/>
  </w:num>
  <w:num w:numId="10" w16cid:durableId="296835704">
    <w:abstractNumId w:val="12"/>
  </w:num>
  <w:num w:numId="11" w16cid:durableId="40399058">
    <w:abstractNumId w:val="7"/>
  </w:num>
  <w:num w:numId="12" w16cid:durableId="1288007336">
    <w:abstractNumId w:val="15"/>
  </w:num>
  <w:num w:numId="13" w16cid:durableId="942615271">
    <w:abstractNumId w:val="10"/>
  </w:num>
  <w:num w:numId="14" w16cid:durableId="240144038">
    <w:abstractNumId w:val="0"/>
  </w:num>
  <w:num w:numId="15" w16cid:durableId="822503305">
    <w:abstractNumId w:val="5"/>
  </w:num>
  <w:num w:numId="16" w16cid:durableId="1984311341">
    <w:abstractNumId w:val="2"/>
  </w:num>
  <w:num w:numId="17" w16cid:durableId="607466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7"/>
    <w:rsid w:val="00023D91"/>
    <w:rsid w:val="00097380"/>
    <w:rsid w:val="000D2BD9"/>
    <w:rsid w:val="000E3D08"/>
    <w:rsid w:val="00127F19"/>
    <w:rsid w:val="00162799"/>
    <w:rsid w:val="00163219"/>
    <w:rsid w:val="00165B7A"/>
    <w:rsid w:val="00197754"/>
    <w:rsid w:val="0020502C"/>
    <w:rsid w:val="0026144B"/>
    <w:rsid w:val="00287051"/>
    <w:rsid w:val="002A7031"/>
    <w:rsid w:val="002B42D2"/>
    <w:rsid w:val="002C11A8"/>
    <w:rsid w:val="002D610E"/>
    <w:rsid w:val="0034604A"/>
    <w:rsid w:val="00374B3D"/>
    <w:rsid w:val="003C4C4F"/>
    <w:rsid w:val="004175B2"/>
    <w:rsid w:val="00424E84"/>
    <w:rsid w:val="004400FA"/>
    <w:rsid w:val="00466DC3"/>
    <w:rsid w:val="004A29E4"/>
    <w:rsid w:val="004C27E1"/>
    <w:rsid w:val="004D33E7"/>
    <w:rsid w:val="00513334"/>
    <w:rsid w:val="00571C13"/>
    <w:rsid w:val="00577CDF"/>
    <w:rsid w:val="005905BB"/>
    <w:rsid w:val="005B1AAF"/>
    <w:rsid w:val="005D6FC7"/>
    <w:rsid w:val="00627D1D"/>
    <w:rsid w:val="006840A5"/>
    <w:rsid w:val="006974B0"/>
    <w:rsid w:val="006A1759"/>
    <w:rsid w:val="006B34BE"/>
    <w:rsid w:val="006E7C45"/>
    <w:rsid w:val="0077525F"/>
    <w:rsid w:val="007963DB"/>
    <w:rsid w:val="008208A5"/>
    <w:rsid w:val="00826DAA"/>
    <w:rsid w:val="008957A2"/>
    <w:rsid w:val="008A1129"/>
    <w:rsid w:val="00930F84"/>
    <w:rsid w:val="009564C7"/>
    <w:rsid w:val="00991658"/>
    <w:rsid w:val="009A0D64"/>
    <w:rsid w:val="009D1B27"/>
    <w:rsid w:val="00A11427"/>
    <w:rsid w:val="00A20657"/>
    <w:rsid w:val="00A47CE2"/>
    <w:rsid w:val="00A53ADE"/>
    <w:rsid w:val="00A63A40"/>
    <w:rsid w:val="00A70CF2"/>
    <w:rsid w:val="00A97BE3"/>
    <w:rsid w:val="00AA0511"/>
    <w:rsid w:val="00AD5073"/>
    <w:rsid w:val="00B2465F"/>
    <w:rsid w:val="00B9075A"/>
    <w:rsid w:val="00B94F6C"/>
    <w:rsid w:val="00BB0365"/>
    <w:rsid w:val="00BB4A78"/>
    <w:rsid w:val="00BD265F"/>
    <w:rsid w:val="00C158C1"/>
    <w:rsid w:val="00C27EC2"/>
    <w:rsid w:val="00C62AA3"/>
    <w:rsid w:val="00C67BB2"/>
    <w:rsid w:val="00C87C98"/>
    <w:rsid w:val="00CA19E1"/>
    <w:rsid w:val="00CB6363"/>
    <w:rsid w:val="00D16286"/>
    <w:rsid w:val="00D3507F"/>
    <w:rsid w:val="00D66726"/>
    <w:rsid w:val="00E50A90"/>
    <w:rsid w:val="00E538C8"/>
    <w:rsid w:val="00E756C3"/>
    <w:rsid w:val="00E9632C"/>
    <w:rsid w:val="00E97788"/>
    <w:rsid w:val="00EB1322"/>
    <w:rsid w:val="00EC0EC1"/>
    <w:rsid w:val="00ED7322"/>
    <w:rsid w:val="00EE28F4"/>
    <w:rsid w:val="00F06BE7"/>
    <w:rsid w:val="00F633B8"/>
    <w:rsid w:val="00FB0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AB7F6"/>
  <w15:docId w15:val="{6D52E1D6-2E27-46E5-9C65-7822A585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2" ma:contentTypeDescription="Create a new document." ma:contentTypeScope="" ma:versionID="bb536a9e86f66188b07b0256623e1969">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456cec9248b33b3378f4b848d7811bcc"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SharedWithUsers xmlns="a0c54837-9d39-4239-8d4c-c436f3b4b0d4">
      <UserInfo>
        <DisplayName/>
        <AccountId xsi:nil="true"/>
        <AccountType/>
      </UserInfo>
    </SharedWithUsers>
    <MediaLengthInSeconds xmlns="6e1def02-9b91-4a37-973b-e4cd8e0681ad" xsi:nil="true"/>
  </documentManagement>
</p:properties>
</file>

<file path=customXml/itemProps1.xml><?xml version="1.0" encoding="utf-8"?>
<ds:datastoreItem xmlns:ds="http://schemas.openxmlformats.org/officeDocument/2006/customXml" ds:itemID="{8E58F5C9-96D8-431B-9E3D-BCC21ACFF318}">
  <ds:schemaRefs>
    <ds:schemaRef ds:uri="http://schemas.openxmlformats.org/officeDocument/2006/bibliography"/>
  </ds:schemaRefs>
</ds:datastoreItem>
</file>

<file path=customXml/itemProps2.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3.xml><?xml version="1.0" encoding="utf-8"?>
<ds:datastoreItem xmlns:ds="http://schemas.openxmlformats.org/officeDocument/2006/customXml" ds:itemID="{38B76894-3601-4668-A9DA-378115A4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7346</Characters>
  <Application>Microsoft Office Word</Application>
  <DocSecurity>0</DocSecurity>
  <Lines>336</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Wakefield</dc:creator>
  <cp:lastModifiedBy>Jones, Julie</cp:lastModifiedBy>
  <cp:revision>2</cp:revision>
  <cp:lastPrinted>2021-06-11T15:37:00Z</cp:lastPrinted>
  <dcterms:created xsi:type="dcterms:W3CDTF">2026-01-05T22:37:00Z</dcterms:created>
  <dcterms:modified xsi:type="dcterms:W3CDTF">2026-01-05T22:37:00Z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Order">
    <vt:r8>309200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